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png" ContentType="image/png"/>
  <Override PartName="/word/media/image4.wmf" ContentType="image/x-wmf"/>
  <Override PartName="/word/media/image5.png" ContentType="image/pn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  <w:sz w:val="44"/>
          <w:szCs w:val="44"/>
        </w:rPr>
      </w:pPr>
      <w:bookmarkStart w:id="0" w:name="_Hlk129162819"/>
      <w:bookmarkEnd w:id="0"/>
      <w:r>
        <w:rPr>
          <w:b/>
          <w:bCs/>
          <w:sz w:val="44"/>
          <w:szCs w:val="44"/>
        </w:rPr>
        <w:t>Karta informacyjna</w:t>
      </w:r>
    </w:p>
    <w:p>
      <w:pPr>
        <w:pStyle w:val="Normal"/>
        <w:pBdr>
          <w:top w:val="thickThinSmallGap" w:sz="24" w:space="1" w:color="000000"/>
          <w:left w:val="thickThinSmallGap" w:sz="24" w:space="4" w:color="000000"/>
          <w:bottom w:val="thinThickSmallGap" w:sz="24" w:space="1" w:color="000000"/>
          <w:right w:val="thinThickSmallGap" w:sz="24" w:space="4" w:color="000000"/>
        </w:pBd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BUDYNEK MIESZKALNY WIELORODZINNY W DOBRZELOWIE</w:t>
      </w:r>
    </w:p>
    <w:p>
      <w:pPr>
        <w:pStyle w:val="Standard"/>
        <w:numPr>
          <w:ilvl w:val="0"/>
          <w:numId w:val="0"/>
        </w:numPr>
        <w:ind w:hanging="0" w:left="720"/>
        <w:jc w:val="center"/>
        <w:rPr>
          <w:b/>
          <w:bCs/>
        </w:rPr>
      </w:pPr>
      <w:r>
        <w:rPr>
          <w:b/>
          <w:bCs/>
        </w:rPr>
      </w:r>
    </w:p>
    <w:p>
      <w:pPr>
        <w:pStyle w:val="Standard"/>
        <w:numPr>
          <w:ilvl w:val="0"/>
          <w:numId w:val="0"/>
        </w:numPr>
        <w:ind w:hanging="0" w:left="720"/>
        <w:jc w:val="center"/>
        <w:rPr>
          <w:b/>
          <w:bCs/>
        </w:rPr>
      </w:pPr>
      <w:r>
        <w:rPr>
          <w:b/>
          <w:bCs/>
        </w:rPr>
        <w:t>1. Zasady ogólne przyznawania lokali</w:t>
      </w:r>
    </w:p>
    <w:p>
      <w:pPr>
        <w:pStyle w:val="Normal"/>
        <w:rPr/>
      </w:pPr>
      <w:r>
        <w:rPr/>
      </w:r>
    </w:p>
    <w:p>
      <w:pPr>
        <w:pStyle w:val="Standard"/>
        <w:numPr>
          <w:ilvl w:val="0"/>
          <w:numId w:val="2"/>
        </w:numPr>
        <w:spacing w:lineRule="auto" w:line="276"/>
        <w:jc w:val="both"/>
        <w:rPr/>
      </w:pPr>
      <w:r>
        <w:rPr/>
        <w:t>Osoba wynajmująca oraz osoby zgłoszone z nią do wspólnego zamieszkania, w dniu objęcia lokalu, nie posiadają tytułu prawnego do innego lokalu mieszkalnego w tej samej miejscowości.</w:t>
      </w:r>
    </w:p>
    <w:p>
      <w:pPr>
        <w:pStyle w:val="Standard"/>
        <w:numPr>
          <w:ilvl w:val="0"/>
          <w:numId w:val="2"/>
        </w:numPr>
        <w:spacing w:lineRule="auto" w:line="276"/>
        <w:jc w:val="both"/>
        <w:rPr/>
      </w:pPr>
      <w:r>
        <w:rPr/>
        <w:t>Najemca jest obowiązany informować SIM niezwłocznie o uzyskaniu tytułu prawnego do innego lokalu mieszkalnego.</w:t>
      </w:r>
    </w:p>
    <w:p>
      <w:pPr>
        <w:pStyle w:val="Standard"/>
        <w:spacing w:lineRule="auto" w:line="276"/>
        <w:ind w:left="720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  <w:t>Osoba ubiegająca się o najem lokalu mieszkalnego jest zobowiązana złożyć:</w:t>
      </w:r>
    </w:p>
    <w:p>
      <w:pPr>
        <w:pStyle w:val="Standard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Standard"/>
        <w:numPr>
          <w:ilvl w:val="0"/>
          <w:numId w:val="2"/>
        </w:numPr>
        <w:spacing w:lineRule="auto" w:line="276"/>
        <w:jc w:val="both"/>
        <w:rPr/>
      </w:pPr>
      <w:r>
        <w:rPr/>
        <w:t>deklarację o średnim miesięcznym dochodzie gospodarstwa domowego za rok poprzedni.</w:t>
      </w:r>
    </w:p>
    <w:p>
      <w:pPr>
        <w:pStyle w:val="Standard"/>
        <w:numPr>
          <w:ilvl w:val="0"/>
          <w:numId w:val="2"/>
        </w:numPr>
        <w:spacing w:lineRule="auto" w:line="276"/>
        <w:jc w:val="both"/>
        <w:rPr/>
      </w:pPr>
      <w:r>
        <w:rPr/>
        <w:t>zaświadczenie właściwego miejscowo urzędu skarbowego o wysokości uzyskanych dochodów wszystkich osób zgłoszonych do wspólnego zamieszkania za ostatni rok podatkowy.</w:t>
      </w:r>
    </w:p>
    <w:p>
      <w:pPr>
        <w:pStyle w:val="Standard"/>
        <w:numPr>
          <w:ilvl w:val="0"/>
          <w:numId w:val="2"/>
        </w:numPr>
        <w:spacing w:lineRule="auto" w:line="276"/>
        <w:jc w:val="both"/>
        <w:rPr/>
      </w:pPr>
      <w:r>
        <w:rPr/>
        <w:t>zaświadczenie o uzyskanych dochodach z ostatnich 3-ech miesięcy.</w:t>
      </w:r>
    </w:p>
    <w:p>
      <w:pPr>
        <w:pStyle w:val="Standard"/>
        <w:numPr>
          <w:ilvl w:val="0"/>
          <w:numId w:val="2"/>
        </w:numPr>
        <w:spacing w:lineRule="auto" w:line="276"/>
        <w:jc w:val="both"/>
        <w:rPr/>
      </w:pPr>
      <w:r>
        <w:rPr/>
        <w:t>oświadczenie o nieposiadaniu tytułu prawnego do innego lokalu w miejscowości,                    w której ubiegamy się o lokal mieszkalny. W przypadku posiadania takiego tytułu oświadczenie, że do dnia podpisania umowy najmu lokalu mieszkalnego. Najemca wyzbędzie się posiadanego tytułu prawnego.</w:t>
      </w:r>
    </w:p>
    <w:p>
      <w:pPr>
        <w:pStyle w:val="Standard"/>
        <w:spacing w:lineRule="auto" w:line="276"/>
        <w:ind w:left="720"/>
        <w:jc w:val="both"/>
        <w:rPr/>
      </w:pPr>
      <w:r>
        <w:rPr/>
      </w:r>
    </w:p>
    <w:p>
      <w:pPr>
        <w:pStyle w:val="Standard"/>
        <w:jc w:val="both"/>
        <w:rPr/>
      </w:pPr>
      <w:r>
        <w:rPr/>
        <w:t xml:space="preserve">Zgodnie z Art. 7a. o finansowym wsparciu niektórych przedsięwzięć mieszkaniowych, średni miesięczny dochód gospodarstwa domowego w roku poprzedzającym rok, w którym jest zawierana umowa najmu, </w:t>
      </w:r>
      <w:r>
        <w:rPr>
          <w:b/>
          <w:bCs/>
        </w:rPr>
        <w:t>nie może przekraczać</w:t>
      </w:r>
      <w:r>
        <w:rPr/>
        <w:t>:</w:t>
      </w:r>
    </w:p>
    <w:p>
      <w:pPr>
        <w:pStyle w:val="Standard"/>
        <w:jc w:val="both"/>
        <w:rPr/>
      </w:pPr>
      <w:r>
        <w:rPr/>
      </w:r>
    </w:p>
    <w:tbl>
      <w:tblPr>
        <w:tblW w:w="8363" w:type="dxa"/>
        <w:jc w:val="left"/>
        <w:tblInd w:w="42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5103"/>
        <w:gridCol w:w="3259"/>
      </w:tblGrid>
      <w:tr>
        <w:trPr>
          <w:trHeight w:val="666" w:hRule="atLeast"/>
        </w:trPr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5B9BD5" w:val="clear"/>
            <w:vAlign w:val="center"/>
          </w:tcPr>
          <w:p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Liczba osób w gospodarstwie domowym</w:t>
            </w:r>
          </w:p>
        </w:tc>
        <w:tc>
          <w:tcPr>
            <w:tcW w:w="3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5B9BD5" w:val="clear"/>
            <w:vAlign w:val="center"/>
          </w:tcPr>
          <w:p>
            <w:pPr>
              <w:pStyle w:val="Normal"/>
              <w:spacing w:before="0" w:after="16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Maksymalny dochód gospodarstwa domowego.</w:t>
            </w:r>
          </w:p>
        </w:tc>
      </w:tr>
      <w:tr>
        <w:trPr/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BDD6EE" w:val="clear"/>
            <w:vAlign w:val="center"/>
          </w:tcPr>
          <w:p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 gospodarstwie 1-osobowym</w:t>
            </w:r>
          </w:p>
        </w:tc>
        <w:tc>
          <w:tcPr>
            <w:tcW w:w="3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BDD6EE" w:val="clear"/>
            <w:vAlign w:val="center"/>
          </w:tcPr>
          <w:p>
            <w:pPr>
              <w:pStyle w:val="Normal"/>
              <w:spacing w:before="0" w:after="16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7 028,56 zł</w:t>
            </w:r>
          </w:p>
        </w:tc>
      </w:tr>
      <w:tr>
        <w:trPr/>
        <w:tc>
          <w:tcPr>
            <w:tcW w:w="5103" w:type="dxa"/>
            <w:tcBorders>
              <w:left w:val="single" w:sz="2" w:space="0" w:color="000000"/>
              <w:bottom w:val="single" w:sz="2" w:space="0" w:color="000000"/>
            </w:tcBorders>
            <w:shd w:color="auto" w:fill="DEEAF6" w:val="clear"/>
            <w:vAlign w:val="center"/>
          </w:tcPr>
          <w:p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 gospodarstwie 2-osobowym</w:t>
            </w:r>
          </w:p>
        </w:tc>
        <w:tc>
          <w:tcPr>
            <w:tcW w:w="32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EEAF6" w:val="clear"/>
            <w:vAlign w:val="center"/>
          </w:tcPr>
          <w:p>
            <w:pPr>
              <w:pStyle w:val="Normal"/>
              <w:spacing w:before="0" w:after="16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9 839,99 zł</w:t>
            </w:r>
          </w:p>
        </w:tc>
      </w:tr>
      <w:tr>
        <w:trPr/>
        <w:tc>
          <w:tcPr>
            <w:tcW w:w="5103" w:type="dxa"/>
            <w:tcBorders>
              <w:left w:val="single" w:sz="2" w:space="0" w:color="000000"/>
              <w:bottom w:val="single" w:sz="2" w:space="0" w:color="000000"/>
            </w:tcBorders>
            <w:shd w:color="auto" w:fill="BDD6EE" w:val="clear"/>
            <w:vAlign w:val="center"/>
          </w:tcPr>
          <w:p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 gospodarstwie 3-osobowym</w:t>
            </w:r>
          </w:p>
        </w:tc>
        <w:tc>
          <w:tcPr>
            <w:tcW w:w="32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BDD6EE" w:val="clear"/>
            <w:vAlign w:val="center"/>
          </w:tcPr>
          <w:p>
            <w:pPr>
              <w:pStyle w:val="Normal"/>
              <w:spacing w:before="0" w:after="16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13 588,56 zł</w:t>
            </w:r>
          </w:p>
        </w:tc>
      </w:tr>
      <w:tr>
        <w:trPr/>
        <w:tc>
          <w:tcPr>
            <w:tcW w:w="5103" w:type="dxa"/>
            <w:tcBorders>
              <w:left w:val="single" w:sz="2" w:space="0" w:color="000000"/>
              <w:bottom w:val="single" w:sz="2" w:space="0" w:color="000000"/>
            </w:tcBorders>
            <w:shd w:color="auto" w:fill="DEEAF6" w:val="clear"/>
            <w:vAlign w:val="center"/>
          </w:tcPr>
          <w:p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 gospodarstwie 4-osobowym</w:t>
            </w:r>
          </w:p>
        </w:tc>
        <w:tc>
          <w:tcPr>
            <w:tcW w:w="32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EEAF6" w:val="clear"/>
            <w:vAlign w:val="center"/>
          </w:tcPr>
          <w:p>
            <w:pPr>
              <w:pStyle w:val="Normal"/>
              <w:spacing w:before="0" w:after="16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15 931,41 zł</w:t>
            </w:r>
          </w:p>
        </w:tc>
      </w:tr>
      <w:tr>
        <w:trPr/>
        <w:tc>
          <w:tcPr>
            <w:tcW w:w="5103" w:type="dxa"/>
            <w:tcBorders>
              <w:left w:val="single" w:sz="2" w:space="0" w:color="000000"/>
              <w:bottom w:val="single" w:sz="2" w:space="0" w:color="000000"/>
            </w:tcBorders>
            <w:shd w:color="auto" w:fill="BDD6EE" w:val="clear"/>
            <w:vAlign w:val="center"/>
          </w:tcPr>
          <w:p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 gospodarstwie 5-osobowym</w:t>
            </w:r>
          </w:p>
        </w:tc>
        <w:tc>
          <w:tcPr>
            <w:tcW w:w="32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BDD6EE" w:val="clear"/>
            <w:vAlign w:val="center"/>
          </w:tcPr>
          <w:p>
            <w:pPr>
              <w:pStyle w:val="Normal"/>
              <w:spacing w:before="0" w:after="16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19 211,41 zł</w:t>
            </w:r>
          </w:p>
        </w:tc>
      </w:tr>
    </w:tbl>
    <w:p>
      <w:pPr>
        <w:pStyle w:val="Standard"/>
        <w:jc w:val="both"/>
        <w:rPr/>
      </w:pPr>
      <w:r>
        <w:rPr/>
      </w:r>
    </w:p>
    <w:p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Wymagania dodatkowe (punktowane):</w:t>
      </w:r>
    </w:p>
    <w:tbl>
      <w:tblPr>
        <w:tblStyle w:val="Tabela-Siatka"/>
        <w:tblW w:w="9493" w:type="dxa"/>
        <w:jc w:val="lef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10"/>
        <w:gridCol w:w="7228"/>
        <w:gridCol w:w="1555"/>
      </w:tblGrid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</w:tcPr>
          <w:p>
            <w:pPr>
              <w:pStyle w:val="Standard"/>
              <w:spacing w:before="0" w:after="0"/>
              <w:jc w:val="center"/>
              <w:rPr>
                <w:sz w:val="26"/>
                <w:szCs w:val="26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6"/>
                <w:szCs w:val="26"/>
                <w:lang w:val="pl-PL" w:eastAsia="en-US" w:bidi="ar-SA"/>
              </w:rPr>
              <w:t>Lp.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</w:tcPr>
          <w:p>
            <w:pPr>
              <w:pStyle w:val="Standard"/>
              <w:spacing w:before="0" w:after="0"/>
              <w:jc w:val="center"/>
              <w:rPr>
                <w:sz w:val="26"/>
                <w:szCs w:val="26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6"/>
                <w:szCs w:val="26"/>
                <w:lang w:val="pl-PL" w:eastAsia="en-US" w:bidi="ar-SA"/>
              </w:rPr>
              <w:t>Kryterium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</w:tcPr>
          <w:p>
            <w:pPr>
              <w:pStyle w:val="Standard"/>
              <w:spacing w:before="0" w:after="0"/>
              <w:jc w:val="center"/>
              <w:rPr>
                <w:sz w:val="26"/>
                <w:szCs w:val="26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6"/>
                <w:szCs w:val="26"/>
                <w:lang w:val="pl-PL" w:eastAsia="en-US" w:bidi="ar-SA"/>
              </w:rPr>
              <w:t>Punkty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1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Kryterium pierwszeństwa jest posiadanie przez wnioskodawcę wkładu oszczędnościowego gromadzonego na rachunku bankowym na cele mieszkaniowe, którego imienny dowód stanowi książeczka mieszkaniowa wystawiona do dnia 23 października 1990 r.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5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2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DEEAF6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Żadna osoba wchodząca w skład gospodarstwa domowego nie była i nie jest właścicielem budynku  mieszkalnego jednorodzinnego lub lokalu mieszkalnego oraz nie przysługiwało i nie przysługuje jej spółdzielcze własnościowe prawo do lokalu, którego przedmiotem był lub jest lokal mieszkalny lub dom jednorodzinny, oraz nie jest właścicielem lub współwłaścicielem budynku, jeżeli jego udział w przypadku zniesienia współwłasności obejmowałby co najmniej jeden lokal mieszkalny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DEEAF6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6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3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Najemca na dzień składania wniosku jest osobą starszą w rozumieniu ustawy z dnia 11 września 2015 r. o osobach starszych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2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4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DEEAF6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Osoba do 16 roku życia wchodząca w skład gospodarstwa domowego legitymuje się orzeczeniem o niepełnosprawności określonym w ustawie z dnia 27 sierpnia 1997 r. o rehabilitacji zawodowej i społecznej oraz zatrudnieniu osób niepełnosprawnych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DEEAF6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2*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5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Osoba powyżej 16 roku życia wchodząca w skład gospodarstwa domowego legitymująca się orzeczeniem o znacznym lub umiarkowanym stopniu niepełnosprawności określonym w ustawie z dnia 27 sierpnia 1997 r. o rehabilitacji zawodowej i społecznej oraz zatrudnianiu osób niepełnosprawnych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2*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6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DEEAF6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W gospodarstwie domowym jest co najmniej jedno dziecko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DEEAF6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2*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7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Osoba wchodząca w skład gospodarstwa domowego jest najemcą lokalu wchodzącego w skład mieszkaniowego zasobu Gminy Bełchatów, który zobowiązuje się do rozwiązania umowy najmu i opróżnienia tego lokalu w terminie miesiąca od dnia zawarcia umowy najmu mieszkania przez najemcę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10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8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DEEAF6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Osoba wchodząca w skład gospodarstwa domowego jest osobą umieszczoną na listach osób ubiegających się o najem mieszkania z mieszkaniowego zasobu Gminy Bełchatów przez okres przynajmniej 3 lat i zobowiązuje się do rezygnacji z ubiegania się o najem z zasobu Gminy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DEEAF6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5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9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W skład gospodarstwa domowego wchodzi osoba, która rozlicza się z podatku dochodowego w Urzędzie Skarbowym w Bełchatowie i w deklaracji podatkowej podaje Gminę Bełchatów jako miejsce zamieszkania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5*</w:t>
            </w:r>
          </w:p>
        </w:tc>
      </w:tr>
      <w:tr>
        <w:trPr/>
        <w:tc>
          <w:tcPr>
            <w:tcW w:w="7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5B9BD5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b/>
                <w:bCs/>
                <w:color w:themeColor="background1" w:val="FFFFFF"/>
                <w:sz w:val="22"/>
                <w:szCs w:val="22"/>
                <w:lang w:val="pl-PL" w:eastAsia="en-US" w:bidi="ar-SA"/>
              </w:rPr>
              <w:t>10</w:t>
            </w:r>
          </w:p>
        </w:tc>
        <w:tc>
          <w:tcPr>
            <w:tcW w:w="72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both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W przypadku gdy najemca był w przeszłości właścicielem budynku mieszkalnego jednorodzinnego lub lokalu mieszkalnego lub przysługiwało mu w przeszłości spółdzielcze własnościowe prawo do lokalu, którego przedmiotem był lokal mieszkalny lub dom jednorodzinny, lecz wskutek działania żywiołu tub katastrofy budowlanej utracił ten budynek lub lokal i na dzień składania wniosku nie jest właścicielem budynku mieszkalnego jednorodzinnego lub lokalu mieszkalnego i nie przysługuje mu spółdzielcze własnościowe prawo do lokalu, którego przedmiotem jest lokal mieszkalny lub dom jednorodzinny.</w:t>
            </w:r>
          </w:p>
        </w:tc>
        <w:tc>
          <w:tcPr>
            <w:tcW w:w="15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color="auto" w:fill="BDD6EE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  <w:szCs w:val="22"/>
                <w:lang w:val="pl-PL" w:eastAsia="en-US" w:bidi="ar-SA"/>
              </w:rPr>
              <w:t>6</w:t>
            </w:r>
          </w:p>
        </w:tc>
      </w:tr>
    </w:tbl>
    <w:p>
      <w:pPr>
        <w:pStyle w:val="Standard"/>
        <w:jc w:val="center"/>
        <w:rPr/>
      </w:pPr>
      <w:r>
        <w:rPr/>
      </w:r>
    </w:p>
    <w:p>
      <w:pPr>
        <w:pStyle w:val="Standard"/>
        <w:ind w:left="720"/>
        <w:rPr/>
      </w:pPr>
      <w:r>
        <w:rPr/>
        <w:t>*punkty przyznawane za każdą osobę spełniającą dane kryterium.</w:t>
      </w:r>
    </w:p>
    <w:p>
      <w:pPr>
        <w:pStyle w:val="Standard"/>
        <w:ind w:left="720"/>
        <w:rPr/>
      </w:pPr>
      <w:r>
        <w:rPr/>
      </w:r>
    </w:p>
    <w:p>
      <w:pPr>
        <w:pStyle w:val="Standard"/>
        <w:spacing w:lineRule="auto" w:line="276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Jak obliczyć dochód?</w:t>
      </w:r>
    </w:p>
    <w:p>
      <w:pPr>
        <w:pStyle w:val="Standard"/>
        <w:spacing w:lineRule="auto" w:line="276"/>
        <w:jc w:val="both"/>
        <w:rPr/>
      </w:pPr>
      <w:r>
        <w:rPr/>
        <w:t xml:space="preserve">Definicja dochodu jest wskazana w ustawie z dnia 28 listopada 2003 r. o świadczeniach rodzinnych (art.3 ust. 1). Sugerujemy zaznajomienie się z ww. aktem prawny z uwagi na bardzo szerokie rozwinięcie terminologii dochodu. </w:t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  <w:t>Poniżej przykład wyliczenia dochodu.</w:t>
      </w:r>
    </w:p>
    <w:p>
      <w:pPr>
        <w:pStyle w:val="Standard"/>
        <w:spacing w:lineRule="auto" w:line="276"/>
        <w:jc w:val="both"/>
        <w:rPr/>
      </w:pPr>
      <w:r>
        <w:rPr/>
        <w:drawing>
          <wp:anchor behindDoc="1" distT="0" distB="0" distL="0" distR="0" simplePos="0" locked="0" layoutInCell="0" allowOverlap="1" relativeHeight="38">
            <wp:simplePos x="0" y="0"/>
            <wp:positionH relativeFrom="margin">
              <wp:posOffset>-566420</wp:posOffset>
            </wp:positionH>
            <wp:positionV relativeFrom="paragraph">
              <wp:posOffset>283210</wp:posOffset>
            </wp:positionV>
            <wp:extent cx="6724650" cy="5361940"/>
            <wp:effectExtent l="0" t="0" r="0" b="0"/>
            <wp:wrapNone/>
            <wp:docPr id="1" name="Obraz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0" b="553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5361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  <w:color w:val="FF0000"/>
        </w:rPr>
      </w:pPr>
      <w:r>
        <w:rPr>
          <w:b/>
          <w:bCs/>
          <w:color w:val="FF0000"/>
        </w:rPr>
      </w:r>
    </w:p>
    <w:p>
      <w:pPr>
        <w:pStyle w:val="Normal"/>
        <w:jc w:val="center"/>
        <w:rPr>
          <w:b/>
          <w:bCs/>
          <w:color w:val="FF0000"/>
        </w:rPr>
      </w:pPr>
      <w:r>
        <w:rPr>
          <w:b/>
          <w:bCs/>
          <w:color w:val="FF0000"/>
        </w:rPr>
      </w:r>
    </w:p>
    <w:p>
      <w:pPr>
        <w:pStyle w:val="Normal"/>
        <w:jc w:val="center"/>
        <w:rPr>
          <w:b/>
          <w:bCs/>
          <w:color w:val="FF0000"/>
        </w:rPr>
      </w:pPr>
      <w:r>
        <w:rPr>
          <w:b/>
          <w:bCs/>
          <w:color w:val="FF0000"/>
        </w:rPr>
      </w:r>
    </w:p>
    <w:p>
      <w:pPr>
        <w:pStyle w:val="Normal"/>
        <w:jc w:val="center"/>
        <w:rPr>
          <w:b/>
          <w:bCs/>
          <w:color w:val="FF0000"/>
        </w:rPr>
      </w:pPr>
      <w:r>
        <w:rPr>
          <w:b/>
          <w:bCs/>
          <w:color w:val="FF0000"/>
        </w:rPr>
      </w:r>
    </w:p>
    <w:p>
      <w:pPr>
        <w:pStyle w:val="Normal"/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>Uwaga: do dochodu nie wlicza się: 500+</w:t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  <w:color w:val="FF0000"/>
        </w:rPr>
      </w:pPr>
      <w:r>
        <w:rPr>
          <w:b/>
          <w:bCs/>
          <w:color w:val="FF0000"/>
        </w:rPr>
      </w:r>
      <w:r>
        <w:br w:type="page"/>
      </w:r>
    </w:p>
    <w:p>
      <w:pPr>
        <w:pStyle w:val="Standard"/>
        <w:numPr>
          <w:ilvl w:val="0"/>
          <w:numId w:val="0"/>
        </w:numPr>
        <w:spacing w:before="0" w:after="0"/>
        <w:ind w:hanging="0" w:left="720"/>
        <w:jc w:val="center"/>
        <w:rPr>
          <w:b/>
          <w:bCs/>
        </w:rPr>
      </w:pPr>
      <w:r>
        <w:rPr>
          <w:b/>
          <w:bCs/>
        </w:rPr>
        <w:t>2. OGÓLNA CHARAKTERYSTYKA PLANOWANEJ INWESTYCJI</w:t>
      </w:r>
    </w:p>
    <w:p>
      <w:pPr>
        <w:pStyle w:val="Standard"/>
        <w:ind w:left="720"/>
        <w:rPr>
          <w:b/>
          <w:bCs/>
        </w:rPr>
      </w:pPr>
      <w:r>
        <w:rPr>
          <w:b/>
          <w:bCs/>
        </w:rPr>
      </w:r>
    </w:p>
    <w:p>
      <w:pPr>
        <w:pStyle w:val="Standard"/>
        <w:jc w:val="both"/>
        <w:rPr/>
      </w:pPr>
      <w:r>
        <w:rPr/>
        <w:t>Trzy budynki mieszkalne wielorodzinne, trzykondygnacyjne, jednoklatkowe.</w:t>
      </w:r>
    </w:p>
    <w:p>
      <w:pPr>
        <w:pStyle w:val="Standard"/>
        <w:jc w:val="both"/>
        <w:rPr>
          <w:b/>
          <w:bCs/>
        </w:rPr>
      </w:pPr>
      <w:r>
        <w:rPr/>
        <w:t xml:space="preserve">Na każdej kondygnacji będą się znajdować komórki lokatorskie dla każdego mieszkania. Budynek zaprojektowano w technologii tradycyjnej. System dróg i chodników umożliwia swobodny dojazd i dojście do miejsca zamieszkania. Dla mieszkańców przewidziano miejsca parkingowe i zagospodarowane tereny zielone. </w:t>
      </w:r>
      <w:r>
        <w:rPr>
          <w:b/>
          <w:bCs/>
        </w:rPr>
        <w:t xml:space="preserve">Dodatkowym atutem jest zamknięta formuła osiedla, zapewniająca komfort i bezpieczeństwo. </w:t>
      </w:r>
    </w:p>
    <w:p>
      <w:pPr>
        <w:pStyle w:val="Standard"/>
        <w:jc w:val="both"/>
        <w:rPr>
          <w:b/>
          <w:bCs/>
        </w:rPr>
      </w:pPr>
      <w:r>
        <w:rPr>
          <w:b/>
          <w:bCs/>
        </w:rPr>
      </w:r>
    </w:p>
    <w:p>
      <w:pPr>
        <w:pStyle w:val="Standard"/>
        <w:jc w:val="both"/>
        <w:rPr/>
      </w:pPr>
      <w:r>
        <w:rPr/>
        <w:t xml:space="preserve">Mieszkania oddawane są w opcji </w:t>
      </w:r>
      <w:r>
        <w:rPr>
          <w:rFonts w:ascii="Source Sans Pro" w:hAnsi="Source Sans Pro"/>
          <w:color w:val="000000"/>
          <w:shd w:fill="FFFFFF" w:val="clear"/>
        </w:rPr>
        <w:t>„</w:t>
      </w:r>
      <w:r>
        <w:rPr/>
        <w:t>pod klucz", tj.:</w:t>
      </w:r>
    </w:p>
    <w:p>
      <w:pPr>
        <w:pStyle w:val="Standard"/>
        <w:jc w:val="both"/>
        <w:rPr/>
      </w:pPr>
      <w:r>
        <w:rPr/>
      </w:r>
    </w:p>
    <w:p>
      <w:pPr>
        <w:pStyle w:val="Standard"/>
        <w:numPr>
          <w:ilvl w:val="0"/>
          <w:numId w:val="1"/>
        </w:numPr>
        <w:jc w:val="both"/>
        <w:rPr/>
      </w:pPr>
      <w:r>
        <w:rPr/>
        <w:t>panele podłogowe</w:t>
      </w:r>
    </w:p>
    <w:p>
      <w:pPr>
        <w:pStyle w:val="Standard"/>
        <w:numPr>
          <w:ilvl w:val="0"/>
          <w:numId w:val="1"/>
        </w:numPr>
        <w:jc w:val="both"/>
        <w:rPr/>
      </w:pPr>
      <w:r>
        <w:rPr/>
        <w:t xml:space="preserve">ściany i sufity malowane farbą </w:t>
      </w:r>
    </w:p>
    <w:p>
      <w:pPr>
        <w:pStyle w:val="Standard"/>
        <w:numPr>
          <w:ilvl w:val="0"/>
          <w:numId w:val="1"/>
        </w:numPr>
        <w:jc w:val="both"/>
        <w:rPr/>
      </w:pPr>
      <w:r>
        <w:rPr/>
        <w:t>łazienka – wykończone płytkami ceramicznymi i gresem</w:t>
      </w:r>
    </w:p>
    <w:p>
      <w:pPr>
        <w:pStyle w:val="Standard"/>
        <w:numPr>
          <w:ilvl w:val="0"/>
          <w:numId w:val="1"/>
        </w:numPr>
        <w:jc w:val="both"/>
        <w:rPr/>
      </w:pPr>
      <w:r>
        <w:rPr/>
        <w:t>kuchnia – zlewozmywak, kuchnia z piekarnikiem.</w:t>
      </w:r>
    </w:p>
    <w:p>
      <w:pPr>
        <w:pStyle w:val="Standard"/>
        <w:numPr>
          <w:ilvl w:val="0"/>
          <w:numId w:val="1"/>
        </w:numPr>
        <w:jc w:val="both"/>
        <w:rPr/>
      </w:pPr>
      <w:r>
        <w:rPr/>
        <w:t>kompletna armatura sanitarna (brodzik z natryskiem lub wanna , umywalka z szafką pod umywalką, miska WC)</w:t>
      </w:r>
    </w:p>
    <w:p>
      <w:pPr>
        <w:pStyle w:val="Standard"/>
        <w:numPr>
          <w:ilvl w:val="0"/>
          <w:numId w:val="1"/>
        </w:numPr>
        <w:jc w:val="both"/>
        <w:rPr/>
      </w:pPr>
      <w:r>
        <w:rPr/>
        <w:t>Balkon – płytki oraz balustrada.</w:t>
      </w:r>
    </w:p>
    <w:p>
      <w:pPr>
        <w:pStyle w:val="Standard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Każde mieszkanie będzie posiadało klimatyzację.</w:t>
      </w:r>
    </w:p>
    <w:p>
      <w:pPr>
        <w:pStyle w:val="Standard"/>
        <w:jc w:val="both"/>
        <w:rPr>
          <w:b/>
          <w:bCs/>
        </w:rPr>
      </w:pPr>
      <w:r>
        <w:rPr>
          <w:b/>
          <w:bCs/>
        </w:rPr>
      </w:r>
    </w:p>
    <w:p>
      <w:pPr>
        <w:pStyle w:val="Standard"/>
        <w:pBdr>
          <w:top w:val="thickThinLargeGap" w:sz="24" w:space="1" w:color="00B0F0"/>
          <w:left w:val="thickThinLargeGap" w:sz="24" w:space="4" w:color="00B0F0"/>
          <w:bottom w:val="thinThickLargeGap" w:sz="24" w:space="1" w:color="00B0F0"/>
          <w:right w:val="thinThickLargeGap" w:sz="24" w:space="4" w:color="00B0F0"/>
        </w:pBdr>
        <w:jc w:val="both"/>
        <w:rPr>
          <w:b/>
          <w:bCs/>
        </w:rPr>
      </w:pPr>
      <w:r>
        <w:rPr>
          <w:b/>
          <w:bCs/>
        </w:rPr>
        <w:t>„</w:t>
      </w:r>
      <w:r>
        <w:rPr>
          <w:b/>
          <w:bCs/>
        </w:rPr>
        <w:t xml:space="preserve">Personalizacja wnętrz”: </w:t>
      </w:r>
      <w:r>
        <w:rPr/>
        <w:t xml:space="preserve">Dla komfortu mieszkańców przygotowaliśmy możliwość personalizacji wykończenia wnętrz. Każdy mieszkaniec będzie miał do wyboru </w:t>
      </w:r>
      <w:r>
        <w:rPr>
          <w:b/>
          <w:bCs/>
        </w:rPr>
        <w:t>trzy różne rodzaje płytek podłogowych, ściennych, paneli, drzwi wewnętrznych oraz klamek</w:t>
      </w:r>
      <w:r>
        <w:rPr/>
        <w:t>, co pozwoli na dostosowanie przestrzeni do indywidualnych potrzeb i gustu</w:t>
      </w:r>
      <w:r>
        <w:rPr>
          <w:b/>
          <w:bCs/>
        </w:rPr>
        <w:t>.</w:t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/>
      </w:pPr>
      <w:r>
        <w:rPr/>
        <w:t xml:space="preserve">W 3 budynkach będzie się mieścić łącznie 60 lokali mieszkalnych, o powierzchniach od </w:t>
      </w:r>
      <w:r>
        <w:rPr>
          <w:b/>
          <w:bCs/>
        </w:rPr>
        <w:t>34,30 m</w:t>
      </w:r>
      <w:r>
        <w:rPr>
          <w:b/>
          <w:bCs/>
          <w:vertAlign w:val="superscript"/>
        </w:rPr>
        <w:t>2</w:t>
      </w:r>
      <w:r>
        <w:rPr/>
        <w:t xml:space="preserve"> do </w:t>
      </w:r>
      <w:r>
        <w:rPr>
          <w:b/>
          <w:bCs/>
        </w:rPr>
        <w:t>67,53 m</w:t>
      </w:r>
      <w:r>
        <w:rPr>
          <w:b/>
          <w:bCs/>
          <w:vertAlign w:val="superscript"/>
        </w:rPr>
        <w:t>2</w:t>
      </w:r>
      <w:r>
        <w:rPr>
          <w:b/>
          <w:bCs/>
        </w:rPr>
        <w:t>.</w:t>
      </w:r>
    </w:p>
    <w:p>
      <w:pPr>
        <w:pStyle w:val="Standard"/>
        <w:jc w:val="both"/>
        <w:rPr>
          <w:b/>
          <w:bCs/>
        </w:rPr>
      </w:pPr>
      <w:r>
        <w:rPr>
          <w:b/>
          <w:bCs/>
        </w:rPr>
      </w:r>
    </w:p>
    <w:p>
      <w:pPr>
        <w:pStyle w:val="Standard"/>
        <w:jc w:val="both"/>
        <w:rPr/>
      </w:pPr>
      <w:r>
        <w:rPr/>
      </w:r>
    </w:p>
    <w:tbl>
      <w:tblPr>
        <w:tblStyle w:val="Tabela-Siatka"/>
        <w:tblW w:w="949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14"/>
        <w:gridCol w:w="4678"/>
      </w:tblGrid>
      <w:tr>
        <w:trPr>
          <w:trHeight w:val="233" w:hRule="atLeast"/>
        </w:trPr>
        <w:tc>
          <w:tcPr>
            <w:tcW w:w="9492" w:type="dxa"/>
            <w:gridSpan w:val="2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eastAsia="pl-PL"/>
              </w:rPr>
            </w:r>
          </w:p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val="pl-PL" w:eastAsia="pl-PL" w:bidi="ar-SA"/>
              </w:rPr>
              <w:t>Wykaz powierzchni użytkowej:</w:t>
            </w:r>
          </w:p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eastAsia="pl-PL"/>
              </w:rPr>
            </w:r>
          </w:p>
        </w:tc>
      </w:tr>
      <w:tr>
        <w:trPr>
          <w:trHeight w:val="2163" w:hRule="atLeast"/>
        </w:trPr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tbl>
            <w:tblPr>
              <w:tblW w:w="4197" w:type="dxa"/>
              <w:jc w:val="left"/>
              <w:tblInd w:w="4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  <w:tblLook w:firstRow="1" w:noVBand="1" w:lastRow="0" w:firstColumn="1" w:lastColumn="0" w:noHBand="0" w:val="04a0"/>
            </w:tblPr>
            <w:tblGrid>
              <w:gridCol w:w="2842"/>
              <w:gridCol w:w="1354"/>
            </w:tblGrid>
            <w:tr>
              <w:trPr>
                <w:trHeight w:val="277" w:hRule="atLeast"/>
              </w:trPr>
              <w:tc>
                <w:tcPr>
                  <w:tcW w:w="419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Parter</w:t>
                  </w:r>
                </w:p>
              </w:tc>
            </w:tr>
            <w:tr>
              <w:trPr>
                <w:trHeight w:val="318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53,53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2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49,71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3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48,23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4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33,78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5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48,33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6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54,68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suma: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288,26</w:t>
                  </w:r>
                </w:p>
              </w:tc>
            </w:tr>
          </w:tbl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Standard"/>
              <w:rPr/>
            </w:pPr>
            <w:r>
              <w:rPr/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tbl>
            <w:tblPr>
              <w:tblW w:w="4197" w:type="dxa"/>
              <w:jc w:val="left"/>
              <w:tblInd w:w="4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  <w:tblLook w:firstRow="1" w:noVBand="1" w:lastRow="0" w:firstColumn="1" w:lastColumn="0" w:noHBand="0" w:val="04a0"/>
            </w:tblPr>
            <w:tblGrid>
              <w:gridCol w:w="2842"/>
              <w:gridCol w:w="1354"/>
            </w:tblGrid>
            <w:tr>
              <w:trPr>
                <w:trHeight w:val="277" w:hRule="atLeast"/>
              </w:trPr>
              <w:tc>
                <w:tcPr>
                  <w:tcW w:w="419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Piętro I + II*</w:t>
                  </w:r>
                </w:p>
              </w:tc>
            </w:tr>
            <w:tr>
              <w:trPr>
                <w:trHeight w:val="318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7, 14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67,24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8, 15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61,38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9, 16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47,75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10, 17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33,74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11, 18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48,33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12, 19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54,68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13, 20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34,76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suma: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347,88</w:t>
                  </w:r>
                </w:p>
              </w:tc>
            </w:tr>
          </w:tbl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Normal"/>
              <w:spacing w:before="0" w:after="160"/>
              <w:rPr>
                <w:rFonts w:ascii="Calibri" w:hAnsi="Calibri"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</w:r>
          </w:p>
        </w:tc>
      </w:tr>
      <w:tr>
        <w:trPr>
          <w:trHeight w:val="247" w:hRule="atLeast"/>
        </w:trPr>
        <w:tc>
          <w:tcPr>
            <w:tcW w:w="9492" w:type="dxa"/>
            <w:gridSpan w:val="2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eastAsia="Calibri" w:cs="Calibri"/>
                <w:b/>
                <w:bCs/>
                <w:color w:val="000000"/>
                <w:kern w:val="0"/>
                <w:sz w:val="22"/>
                <w:szCs w:val="22"/>
                <w:lang w:val="pl-PL" w:eastAsia="en-US" w:bidi="ar-SA"/>
              </w:rPr>
              <w:t>*Mieszkania na drugim piętrze mają ten sam układ, jednak ze względu na prowadzenie wentylacji powierzchnia całego mieszkania może być mniejsza o około 0,4m</w:t>
            </w:r>
            <w:r>
              <w:rPr>
                <w:rFonts w:eastAsia="Calibri" w:cs="Calibri"/>
                <w:b/>
                <w:bCs/>
                <w:color w:val="000000"/>
                <w:kern w:val="0"/>
                <w:sz w:val="22"/>
                <w:szCs w:val="22"/>
                <w:vertAlign w:val="superscript"/>
                <w:lang w:val="pl-PL" w:eastAsia="en-US" w:bidi="ar-SA"/>
              </w:rPr>
              <w:t>2</w:t>
            </w:r>
          </w:p>
        </w:tc>
      </w:tr>
    </w:tbl>
    <w:p>
      <w:pPr>
        <w:pStyle w:val="Standard"/>
        <w:jc w:val="both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</w:r>
    </w:p>
    <w:p>
      <w:pPr>
        <w:pStyle w:val="Normal"/>
        <w:rPr>
          <w:rFonts w:ascii="Times New Roman" w:hAnsi="Times New Roman" w:eastAsia="Andale Sans UI" w:cs="Tahoma"/>
          <w:i/>
          <w:i/>
          <w:iCs/>
          <w:kern w:val="2"/>
          <w:sz w:val="18"/>
          <w:szCs w:val="18"/>
        </w:rPr>
      </w:pPr>
      <w:r>
        <w:rPr>
          <w:rFonts w:eastAsia="Andale Sans UI" w:cs="Tahoma" w:ascii="Times New Roman" w:hAnsi="Times New Roman"/>
          <w:i/>
          <w:iCs/>
          <w:kern w:val="2"/>
          <w:sz w:val="18"/>
          <w:szCs w:val="18"/>
        </w:rPr>
      </w:r>
    </w:p>
    <w:p>
      <w:pPr>
        <w:pStyle w:val="Normal"/>
        <w:rPr>
          <w:rFonts w:ascii="Times New Roman" w:hAnsi="Times New Roman" w:eastAsia="Andale Sans UI" w:cs="Tahoma"/>
          <w:i/>
          <w:i/>
          <w:iCs/>
          <w:kern w:val="2"/>
          <w:sz w:val="18"/>
          <w:szCs w:val="18"/>
        </w:rPr>
      </w:pPr>
      <w:r>
        <w:rPr>
          <w:b/>
          <w:bCs/>
        </w:rPr>
        <w:t>PROPONOWANA WYSOKOŚĆ CZYNSZU.</w:t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>
          <w:rFonts w:cs="Times New Roman"/>
          <w:shd w:fill="FFFFFF" w:val="clear"/>
        </w:rPr>
      </w:pPr>
      <w:r>
        <w:rPr>
          <w:rFonts w:cs="Times New Roman"/>
          <w:shd w:fill="FFFFFF" w:val="clear"/>
        </w:rPr>
        <w:t xml:space="preserve">Szacunkowa wysokość czynszu dla poszczególnych mieszkań na podstawie </w:t>
      </w:r>
      <w:r>
        <w:rPr/>
        <w:t xml:space="preserve">Art. 28 </w:t>
      </w:r>
      <w:r>
        <w:rPr>
          <w:rFonts w:cs="Times New Roman"/>
          <w:shd w:fill="FFFFFF" w:val="clear"/>
        </w:rPr>
        <w:t> ustawy </w:t>
      </w:r>
      <w:r>
        <w:rPr/>
        <w:t>z dnia 26 października 1995 r.</w:t>
      </w:r>
      <w:r>
        <w:rPr>
          <w:rFonts w:cs="Times New Roman"/>
          <w:shd w:fill="FFFFFF" w:val="clear"/>
        </w:rPr>
        <w:t xml:space="preserve"> </w:t>
      </w:r>
      <w:r>
        <w:rPr/>
        <w:t>o społecznych formach rozwoju mieszkalnictwa</w:t>
      </w:r>
      <w:r>
        <w:rPr>
          <w:rFonts w:cs="Times New Roman"/>
          <w:shd w:fill="FFFFFF" w:val="clear"/>
        </w:rPr>
        <w:t>. Przewidywana miesięczna stawka czynszu za 1 </w:t>
      </w:r>
      <w:r>
        <w:rPr>
          <w:rStyle w:val="hiddenspellerror"/>
          <w:rFonts w:cs="Times New Roman"/>
        </w:rPr>
        <w:t>m2</w:t>
      </w:r>
      <w:r>
        <w:rPr>
          <w:rFonts w:cs="Times New Roman"/>
          <w:shd w:fill="FFFFFF" w:val="clear"/>
        </w:rPr>
        <w:t> powierzchni to</w:t>
      </w:r>
      <w:r>
        <w:rPr>
          <w:rFonts w:cs="Times New Roman"/>
          <w:shd w:fill="auto" w:val="clear"/>
        </w:rPr>
        <w:t xml:space="preserve"> </w:t>
      </w:r>
      <w:r>
        <w:rPr>
          <w:rFonts w:cs="Times New Roman"/>
          <w:b/>
          <w:bCs/>
          <w:shd w:fill="auto" w:val="clear"/>
        </w:rPr>
        <w:t xml:space="preserve">19,00 zł. </w:t>
      </w:r>
    </w:p>
    <w:p>
      <w:pPr>
        <w:pStyle w:val="Standard"/>
        <w:jc w:val="both"/>
        <w:rPr>
          <w:rFonts w:cs="Times New Roman"/>
          <w:b/>
          <w:bCs/>
          <w:color w:themeColor="text1" w:val="000000"/>
        </w:rPr>
      </w:pPr>
      <w:r>
        <w:rPr>
          <w:rFonts w:cs="Times New Roman"/>
          <w:b/>
          <w:bCs/>
          <w:color w:themeColor="text1" w:val="000000"/>
        </w:rPr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/>
      </w:pPr>
      <w:r>
        <w:rPr/>
      </w:r>
    </w:p>
    <w:tbl>
      <w:tblPr>
        <w:tblStyle w:val="Tabela-Siatka"/>
        <w:tblW w:w="949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957"/>
        <w:gridCol w:w="4535"/>
      </w:tblGrid>
      <w:tr>
        <w:trPr>
          <w:trHeight w:val="233" w:hRule="atLeast"/>
        </w:trPr>
        <w:tc>
          <w:tcPr>
            <w:tcW w:w="9492" w:type="dxa"/>
            <w:gridSpan w:val="2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eastAsia="pl-PL"/>
              </w:rPr>
            </w:r>
          </w:p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val="pl-PL" w:eastAsia="pl-PL" w:bidi="ar-SA"/>
              </w:rPr>
              <w:t>Wysokość czynszu:</w:t>
            </w:r>
          </w:p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eastAsia="pl-PL"/>
              </w:rPr>
            </w:r>
          </w:p>
        </w:tc>
      </w:tr>
      <w:tr>
        <w:trPr>
          <w:trHeight w:val="2163" w:hRule="atLeast"/>
        </w:trPr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tbl>
            <w:tblPr>
              <w:tblW w:w="4197" w:type="dxa"/>
              <w:jc w:val="left"/>
              <w:tblInd w:w="4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  <w:tblLook w:firstRow="1" w:noVBand="1" w:lastRow="0" w:firstColumn="1" w:lastColumn="0" w:noHBand="0" w:val="04a0"/>
            </w:tblPr>
            <w:tblGrid>
              <w:gridCol w:w="2842"/>
              <w:gridCol w:w="1354"/>
            </w:tblGrid>
            <w:tr>
              <w:trPr>
                <w:trHeight w:val="277" w:hRule="atLeast"/>
              </w:trPr>
              <w:tc>
                <w:tcPr>
                  <w:tcW w:w="419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Parter</w:t>
                  </w:r>
                </w:p>
              </w:tc>
            </w:tr>
            <w:tr>
              <w:trPr>
                <w:trHeight w:val="318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1 017,07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2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944,49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3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916,37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4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641,82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5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918,27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6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1 038,92 zł</w:t>
                  </w:r>
                </w:p>
              </w:tc>
            </w:tr>
          </w:tbl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Standard"/>
              <w:jc w:val="center"/>
              <w:rPr/>
            </w:pPr>
            <w:r>
              <w:rPr/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tbl>
            <w:tblPr>
              <w:tblW w:w="4197" w:type="dxa"/>
              <w:jc w:val="left"/>
              <w:tblInd w:w="4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  <w:tblLook w:firstRow="1" w:noVBand="1" w:lastRow="0" w:firstColumn="1" w:lastColumn="0" w:noHBand="0" w:val="04a0"/>
            </w:tblPr>
            <w:tblGrid>
              <w:gridCol w:w="2842"/>
              <w:gridCol w:w="1354"/>
            </w:tblGrid>
            <w:tr>
              <w:trPr>
                <w:trHeight w:val="277" w:hRule="atLeast"/>
              </w:trPr>
              <w:tc>
                <w:tcPr>
                  <w:tcW w:w="419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Piętro I + II</w:t>
                  </w:r>
                </w:p>
              </w:tc>
            </w:tr>
            <w:tr>
              <w:trPr>
                <w:trHeight w:val="318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7, 14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1 277,56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8, 15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1 166,22 zł</w:t>
                  </w:r>
                </w:p>
              </w:tc>
            </w:tr>
            <w:tr>
              <w:trPr>
                <w:trHeight w:val="515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9, 16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907,25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10, 17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641,06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11, 18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918,27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12, 19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1 038,92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13, 20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color w:val="auto"/>
                    </w:rPr>
                  </w:pPr>
                  <w:r>
                    <w:rPr>
                      <w:rFonts w:cs="Calibri"/>
                      <w:color w:val="auto"/>
                    </w:rPr>
                    <w:t>660,44 zł</w:t>
                  </w:r>
                </w:p>
              </w:tc>
            </w:tr>
          </w:tbl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Normal"/>
              <w:spacing w:before="0" w:after="160"/>
              <w:jc w:val="center"/>
              <w:rPr>
                <w:rFonts w:ascii="Calibri" w:hAnsi="Calibri"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</w:r>
          </w:p>
        </w:tc>
      </w:tr>
    </w:tbl>
    <w:p>
      <w:pPr>
        <w:pStyle w:val="Standard"/>
        <w:jc w:val="both"/>
        <w:rPr/>
      </w:pPr>
      <w:r>
        <w:rPr/>
      </w:r>
    </w:p>
    <w:p>
      <w:pPr>
        <w:pStyle w:val="Normal"/>
        <w:rPr>
          <w:rFonts w:ascii="Times New Roman" w:hAnsi="Times New Roman" w:eastAsia="Andale Sans UI" w:cs="Tahoma"/>
          <w:kern w:val="2"/>
          <w:sz w:val="24"/>
          <w:szCs w:val="24"/>
        </w:rPr>
      </w:pPr>
      <w:r>
        <w:rPr>
          <w:rFonts w:eastAsia="Andale Sans UI" w:cs="Tahoma" w:ascii="Times New Roman" w:hAnsi="Times New Roman"/>
          <w:kern w:val="2"/>
          <w:sz w:val="24"/>
          <w:szCs w:val="24"/>
        </w:rPr>
      </w:r>
      <w:r>
        <w:br w:type="page"/>
      </w:r>
    </w:p>
    <w:p>
      <w:pPr>
        <w:pStyle w:val="Standard"/>
        <w:numPr>
          <w:ilvl w:val="0"/>
          <w:numId w:val="0"/>
        </w:numPr>
        <w:spacing w:before="0" w:after="0"/>
        <w:ind w:hanging="0" w:left="720"/>
        <w:jc w:val="center"/>
        <w:rPr>
          <w:b/>
          <w:bCs/>
        </w:rPr>
      </w:pPr>
      <w:r>
        <w:rPr>
          <w:b/>
          <w:bCs/>
        </w:rPr>
        <w:t>3. PROPONOWANA WYSOKOŚĆ PARTYCYPACJI</w:t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>
          <w:b/>
          <w:bCs/>
        </w:rPr>
      </w:pPr>
      <w:r>
        <w:rPr/>
        <w:t xml:space="preserve">Mieszkania w Dobrzelowie będą wynajmowane osobom, które partycypują w kosztach budowy. Koszty partycypacji ustalane są indywidualnie dla każdego mieszkania a jej wysokość zgodnie z Art. 29a </w:t>
      </w:r>
      <w:r>
        <w:rPr>
          <w:rFonts w:cs="Times New Roman"/>
          <w:color w:val="000000"/>
          <w:shd w:fill="FFFFFF" w:val="clear"/>
        </w:rPr>
        <w:t> ustawy </w:t>
      </w:r>
      <w:r>
        <w:rPr/>
        <w:t>z dnia 26 października 1995 r.</w:t>
      </w:r>
      <w:r>
        <w:rPr>
          <w:rFonts w:cs="Times New Roman"/>
          <w:color w:val="000000"/>
          <w:shd w:fill="FFFFFF" w:val="clear"/>
        </w:rPr>
        <w:t xml:space="preserve"> </w:t>
      </w:r>
      <w:r>
        <w:rPr/>
        <w:t xml:space="preserve">o społecznych formach rozwoju mieszkalnictwa. Partycypacja nie może przekroczyć </w:t>
      </w:r>
      <w:r>
        <w:rPr>
          <w:b/>
          <w:bCs/>
        </w:rPr>
        <w:t>30% kosztów budowy lokalu.</w:t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/>
      </w:pPr>
      <w:r>
        <w:rPr/>
      </w:r>
    </w:p>
    <w:tbl>
      <w:tblPr>
        <w:tblStyle w:val="Tabela-Siatka"/>
        <w:tblW w:w="10774" w:type="dxa"/>
        <w:jc w:val="left"/>
        <w:tblInd w:w="-7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959"/>
        <w:gridCol w:w="4814"/>
      </w:tblGrid>
      <w:tr>
        <w:trPr>
          <w:trHeight w:val="233" w:hRule="atLeast"/>
        </w:trPr>
        <w:tc>
          <w:tcPr>
            <w:tcW w:w="10773" w:type="dxa"/>
            <w:gridSpan w:val="2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eastAsia="pl-PL"/>
              </w:rPr>
            </w:r>
          </w:p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val="pl-PL" w:eastAsia="pl-PL" w:bidi="ar-SA"/>
              </w:rPr>
              <w:t>Wysokość Partycypacji*:</w:t>
            </w:r>
          </w:p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eastAsia="pl-PL"/>
              </w:rPr>
            </w:r>
          </w:p>
        </w:tc>
      </w:tr>
      <w:tr>
        <w:trPr>
          <w:trHeight w:val="2163" w:hRule="atLeast"/>
        </w:trPr>
        <w:tc>
          <w:tcPr>
            <w:tcW w:w="5959" w:type="dxa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tbl>
            <w:tblPr>
              <w:tblW w:w="4197" w:type="dxa"/>
              <w:jc w:val="left"/>
              <w:tblInd w:w="4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  <w:tblLook w:firstRow="1" w:noVBand="1" w:lastRow="0" w:firstColumn="1" w:lastColumn="0" w:noHBand="0" w:val="04a0"/>
            </w:tblPr>
            <w:tblGrid>
              <w:gridCol w:w="2842"/>
              <w:gridCol w:w="1354"/>
            </w:tblGrid>
            <w:tr>
              <w:trPr>
                <w:trHeight w:val="277" w:hRule="atLeast"/>
              </w:trPr>
              <w:tc>
                <w:tcPr>
                  <w:tcW w:w="419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Parter</w:t>
                  </w:r>
                </w:p>
              </w:tc>
            </w:tr>
            <w:tr>
              <w:trPr>
                <w:trHeight w:val="318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171 386,</w:t>
                  </w:r>
                  <w:r>
                    <w:rPr>
                      <w:rFonts w:cs="Calibri"/>
                      <w:color w:val="000000"/>
                    </w:rPr>
                    <w:t>47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2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159 15</w:t>
                  </w:r>
                  <w:r>
                    <w:rPr>
                      <w:rFonts w:cs="Calibri"/>
                      <w:color w:val="000000"/>
                    </w:rPr>
                    <w:t>6</w:t>
                  </w:r>
                  <w:r>
                    <w:rPr>
                      <w:rFonts w:cs="Calibri"/>
                      <w:color w:val="000000"/>
                    </w:rPr>
                    <w:t>,</w:t>
                  </w:r>
                  <w:r>
                    <w:rPr>
                      <w:rFonts w:cs="Calibri"/>
                      <w:color w:val="000000"/>
                    </w:rPr>
                    <w:t>01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3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154 417,</w:t>
                  </w:r>
                  <w:r>
                    <w:rPr>
                      <w:rFonts w:cs="Calibri"/>
                      <w:color w:val="000000"/>
                    </w:rPr>
                    <w:t>5</w:t>
                  </w:r>
                  <w:r>
                    <w:rPr>
                      <w:rFonts w:cs="Calibri"/>
                      <w:color w:val="000000"/>
                    </w:rPr>
                    <w:t>0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4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108 15</w:t>
                  </w:r>
                  <w:r>
                    <w:rPr>
                      <w:rFonts w:cs="Calibri"/>
                      <w:color w:val="000000"/>
                    </w:rPr>
                    <w:t>3</w:t>
                  </w:r>
                  <w:r>
                    <w:rPr>
                      <w:rFonts w:cs="Calibri"/>
                      <w:color w:val="000000"/>
                    </w:rPr>
                    <w:t>,</w:t>
                  </w:r>
                  <w:r>
                    <w:rPr>
                      <w:rFonts w:cs="Calibri"/>
                      <w:color w:val="000000"/>
                    </w:rPr>
                    <w:t>09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5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154 737,</w:t>
                  </w:r>
                  <w:r>
                    <w:rPr>
                      <w:rFonts w:cs="Calibri"/>
                      <w:color w:val="000000"/>
                    </w:rPr>
                    <w:t>68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6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175 068,</w:t>
                  </w:r>
                  <w:r>
                    <w:rPr>
                      <w:rFonts w:cs="Calibri"/>
                      <w:color w:val="000000"/>
                    </w:rPr>
                    <w:t>41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</w:tbl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Standard"/>
              <w:jc w:val="center"/>
              <w:rPr/>
            </w:pPr>
            <w:r>
              <w:rPr/>
            </w: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tbl>
            <w:tblPr>
              <w:tblW w:w="4197" w:type="dxa"/>
              <w:jc w:val="left"/>
              <w:tblInd w:w="4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  <w:tblLook w:firstRow="1" w:noVBand="1" w:lastRow="0" w:firstColumn="1" w:lastColumn="0" w:noHBand="0" w:val="04a0"/>
            </w:tblPr>
            <w:tblGrid>
              <w:gridCol w:w="2842"/>
              <w:gridCol w:w="1354"/>
            </w:tblGrid>
            <w:tr>
              <w:trPr>
                <w:trHeight w:val="277" w:hRule="atLeast"/>
              </w:trPr>
              <w:tc>
                <w:tcPr>
                  <w:tcW w:w="419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Piętro I + II*</w:t>
                  </w:r>
                </w:p>
              </w:tc>
            </w:tr>
            <w:tr>
              <w:trPr>
                <w:trHeight w:val="318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7, 14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215 281,</w:t>
                  </w:r>
                  <w:r>
                    <w:rPr>
                      <w:rFonts w:cs="Calibri"/>
                      <w:color w:val="000000"/>
                    </w:rPr>
                    <w:t>6</w:t>
                  </w:r>
                  <w:r>
                    <w:rPr>
                      <w:rFonts w:cs="Calibri"/>
                      <w:color w:val="000000"/>
                    </w:rPr>
                    <w:t>4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8, 15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196 519,</w:t>
                  </w:r>
                  <w:r>
                    <w:rPr>
                      <w:rFonts w:cs="Calibri"/>
                      <w:color w:val="000000"/>
                    </w:rPr>
                    <w:t>73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9, 16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152 880,</w:t>
                  </w:r>
                  <w:r>
                    <w:rPr>
                      <w:rFonts w:cs="Calibri"/>
                      <w:color w:val="000000"/>
                    </w:rPr>
                    <w:t>70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10, 17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108 02</w:t>
                  </w:r>
                  <w:r>
                    <w:rPr>
                      <w:rFonts w:cs="Calibri"/>
                      <w:color w:val="000000"/>
                    </w:rPr>
                    <w:t>5</w:t>
                  </w:r>
                  <w:r>
                    <w:rPr>
                      <w:rFonts w:cs="Calibri"/>
                      <w:color w:val="000000"/>
                    </w:rPr>
                    <w:t>,</w:t>
                  </w:r>
                  <w:r>
                    <w:rPr>
                      <w:rFonts w:cs="Calibri"/>
                      <w:color w:val="000000"/>
                    </w:rPr>
                    <w:t>02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11, 18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154 737,</w:t>
                  </w:r>
                  <w:r>
                    <w:rPr>
                      <w:rFonts w:cs="Calibri"/>
                      <w:color w:val="000000"/>
                    </w:rPr>
                    <w:t>68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12, 19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175 068,</w:t>
                  </w:r>
                  <w:r>
                    <w:rPr>
                      <w:rFonts w:cs="Calibri"/>
                      <w:color w:val="000000"/>
                    </w:rPr>
                    <w:t>41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13, 20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111 290,</w:t>
                  </w:r>
                  <w:r>
                    <w:rPr>
                      <w:rFonts w:cs="Calibri"/>
                      <w:color w:val="000000"/>
                    </w:rPr>
                    <w:t>74</w:t>
                  </w:r>
                  <w:r>
                    <w:rPr>
                      <w:rFonts w:cs="Calibri"/>
                      <w:color w:val="000000"/>
                    </w:rPr>
                    <w:t xml:space="preserve"> zł</w:t>
                  </w:r>
                </w:p>
              </w:tc>
            </w:tr>
          </w:tbl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Normal"/>
              <w:spacing w:before="0" w:after="160"/>
              <w:jc w:val="center"/>
              <w:rPr>
                <w:rFonts w:ascii="Calibri" w:hAnsi="Calibri"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</w:r>
          </w:p>
        </w:tc>
      </w:tr>
    </w:tbl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*Jest to szacowana wysokość partycypacji. Ostateczna kwota partycypacji będzie znana po zakończeniu budowy.</w:t>
      </w:r>
    </w:p>
    <w:p>
      <w:pPr>
        <w:pStyle w:val="Standard"/>
        <w:rPr/>
      </w:pPr>
      <w:r>
        <w:rPr/>
      </w:r>
    </w:p>
    <w:p>
      <w:pPr>
        <w:pStyle w:val="Standard"/>
        <w:jc w:val="both"/>
        <w:rPr/>
      </w:pPr>
      <w:r>
        <w:rPr/>
        <w:t xml:space="preserve">W przypadku opuszczenia lokalu partycypacja podlega zwrotowi. </w:t>
      </w:r>
      <w:r>
        <w:rPr>
          <w:rFonts w:eastAsia="Times New Roman" w:cs="Times New Roman"/>
        </w:rPr>
        <w:t xml:space="preserve">Zwrot zwaloryzowanej partycypacji nastąpi zgodnie z art. 29a Ustawy </w:t>
      </w:r>
      <w:r>
        <w:rPr/>
        <w:t xml:space="preserve">o społecznych formach rozwoju mieszkalnictwa, </w:t>
      </w:r>
      <w:r>
        <w:rPr>
          <w:rFonts w:eastAsia="Times New Roman" w:cs="Times New Roman"/>
        </w:rPr>
        <w:t>tj. nie później niż w terminie 12-stu miesięcy od dnia opróżnienia lokalu.</w:t>
      </w:r>
    </w:p>
    <w:p>
      <w:pPr>
        <w:pStyle w:val="Normal"/>
        <w:rPr>
          <w:rFonts w:ascii="Times New Roman" w:hAnsi="Times New Roman" w:eastAsia="Andale Sans UI" w:cs="Tahoma"/>
          <w:kern w:val="2"/>
          <w:sz w:val="24"/>
          <w:szCs w:val="24"/>
        </w:rPr>
      </w:pPr>
      <w:r>
        <w:rPr>
          <w:rFonts w:eastAsia="Andale Sans UI" w:cs="Tahoma" w:ascii="Times New Roman" w:hAnsi="Times New Roman"/>
          <w:kern w:val="2"/>
          <w:sz w:val="24"/>
          <w:szCs w:val="24"/>
        </w:rPr>
      </w:r>
      <w:r>
        <w:br w:type="page"/>
      </w:r>
    </w:p>
    <w:p>
      <w:pPr>
        <w:pStyle w:val="Standard"/>
        <w:spacing w:before="0" w:after="0"/>
        <w:jc w:val="both"/>
        <w:rPr/>
      </w:pPr>
      <w:r>
        <w:rPr/>
      </w:r>
    </w:p>
    <w:p>
      <w:pPr>
        <w:pStyle w:val="Standard"/>
        <w:numPr>
          <w:ilvl w:val="0"/>
          <w:numId w:val="0"/>
        </w:numPr>
        <w:ind w:hanging="0" w:left="720"/>
        <w:jc w:val="center"/>
        <w:rPr>
          <w:b/>
          <w:bCs/>
        </w:rPr>
      </w:pPr>
      <w:r>
        <w:rPr>
          <w:b/>
          <w:bCs/>
        </w:rPr>
        <w:t xml:space="preserve">4. WYSOKOŚĆ KAUCJI </w:t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>
          <w:color w:val="FF0000"/>
        </w:rPr>
      </w:pPr>
      <w:r>
        <w:rPr/>
        <w:t>Najpóźniej w dniu podpisania umowy najmu przyszły najemca jest zobowiązany dokonać wpłaty kaucji zabezpieczającej pokrycie należności z tytułu najmu lokalu w wysokości 12-krotnej wartości czynszu, co stanowić będzie kwotę:</w:t>
      </w:r>
    </w:p>
    <w:p>
      <w:pPr>
        <w:pStyle w:val="Standard"/>
        <w:jc w:val="both"/>
        <w:rPr>
          <w:color w:val="FF0000"/>
        </w:rPr>
      </w:pPr>
      <w:r>
        <w:rPr>
          <w:color w:val="FF0000"/>
        </w:rPr>
      </w:r>
    </w:p>
    <w:tbl>
      <w:tblPr>
        <w:tblStyle w:val="Tabela-Siatka"/>
        <w:tblW w:w="10774" w:type="dxa"/>
        <w:jc w:val="left"/>
        <w:tblInd w:w="-7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959"/>
        <w:gridCol w:w="4814"/>
      </w:tblGrid>
      <w:tr>
        <w:trPr>
          <w:trHeight w:val="233" w:hRule="atLeast"/>
        </w:trPr>
        <w:tc>
          <w:tcPr>
            <w:tcW w:w="10773" w:type="dxa"/>
            <w:gridSpan w:val="2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eastAsia="pl-PL"/>
              </w:rPr>
            </w:r>
          </w:p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val="pl-PL" w:eastAsia="pl-PL" w:bidi="ar-SA"/>
              </w:rPr>
              <w:t>Wysokość kaucji:</w:t>
            </w:r>
          </w:p>
          <w:p>
            <w:pPr>
              <w:pStyle w:val="Standard"/>
              <w:spacing w:before="0" w:after="0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Calibri" w:ascii="Calibri" w:hAnsi="Calibri"/>
                <w:b/>
                <w:bCs/>
                <w:color w:val="000000"/>
                <w:sz w:val="32"/>
                <w:szCs w:val="32"/>
                <w:lang w:eastAsia="pl-PL"/>
              </w:rPr>
            </w:r>
          </w:p>
        </w:tc>
      </w:tr>
      <w:tr>
        <w:trPr>
          <w:trHeight w:val="2163" w:hRule="atLeast"/>
        </w:trPr>
        <w:tc>
          <w:tcPr>
            <w:tcW w:w="5959" w:type="dxa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tbl>
            <w:tblPr>
              <w:tblW w:w="4197" w:type="dxa"/>
              <w:jc w:val="left"/>
              <w:tblInd w:w="4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  <w:tblLook w:firstRow="1" w:noVBand="1" w:lastRow="0" w:firstColumn="1" w:lastColumn="0" w:noHBand="0" w:val="04a0"/>
            </w:tblPr>
            <w:tblGrid>
              <w:gridCol w:w="2842"/>
              <w:gridCol w:w="1354"/>
            </w:tblGrid>
            <w:tr>
              <w:trPr>
                <w:trHeight w:val="277" w:hRule="atLeast"/>
              </w:trPr>
              <w:tc>
                <w:tcPr>
                  <w:tcW w:w="419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Parter</w:t>
                  </w:r>
                </w:p>
              </w:tc>
            </w:tr>
            <w:tr>
              <w:trPr>
                <w:trHeight w:val="318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12 204,84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2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11 333,88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3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10 996,44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4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7 701,84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5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11 019,24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6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12 467,04 zł</w:t>
                  </w:r>
                </w:p>
              </w:tc>
            </w:tr>
          </w:tbl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Standard"/>
              <w:jc w:val="center"/>
              <w:rPr/>
            </w:pPr>
            <w:r>
              <w:rPr/>
            </w: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  <w:shd w:color="auto" w:fill="F2F2F2" w:themeFill="background1" w:themeFillShade="f2" w:val="clear"/>
            <w:vAlign w:val="center"/>
          </w:tcPr>
          <w:tbl>
            <w:tblPr>
              <w:tblW w:w="4197" w:type="dxa"/>
              <w:jc w:val="left"/>
              <w:tblInd w:w="4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  <w:tblLook w:firstRow="1" w:noVBand="1" w:lastRow="0" w:firstColumn="1" w:lastColumn="0" w:noHBand="0" w:val="04a0"/>
            </w:tblPr>
            <w:tblGrid>
              <w:gridCol w:w="2842"/>
              <w:gridCol w:w="1354"/>
            </w:tblGrid>
            <w:tr>
              <w:trPr>
                <w:trHeight w:val="277" w:hRule="atLeast"/>
              </w:trPr>
              <w:tc>
                <w:tcPr>
                  <w:tcW w:w="419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5B9BD5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themeColor="background1" w:val="FFFFFF"/>
                      <w:lang w:eastAsia="pl-PL"/>
                    </w:rPr>
                  </w:pPr>
                  <w:r>
                    <w:rPr>
                      <w:rFonts w:eastAsia="Times New Roman" w:cs="Calibri"/>
                      <w:color w:themeColor="background1" w:val="FFFFFF"/>
                      <w:lang w:eastAsia="pl-PL"/>
                    </w:rPr>
                    <w:t>Piętro I + II</w:t>
                  </w:r>
                </w:p>
              </w:tc>
            </w:tr>
            <w:tr>
              <w:trPr>
                <w:trHeight w:val="318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7, 14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15 330,72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8, 15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13 994,64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9, 16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10 887,00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10, 17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7 692,72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11, 18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11 019,24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12, 19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DEEAF6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12 431,04 zł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84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eastAsia="Times New Roman" w:cs="Calibri"/>
                      <w:color w:val="000000"/>
                      <w:lang w:eastAsia="pl-PL"/>
                    </w:rPr>
                  </w:pPr>
                  <w:r>
                    <w:rPr>
                      <w:rFonts w:cs="Calibri"/>
                      <w:color w:val="000000"/>
                    </w:rPr>
                    <w:t>Mieszkanie nr 13, 20</w:t>
                  </w:r>
                </w:p>
              </w:tc>
              <w:tc>
                <w:tcPr>
                  <w:tcW w:w="1354" w:type="dxa"/>
                  <w:tcBorders>
                    <w:bottom w:val="single" w:sz="4" w:space="0" w:color="000000"/>
                    <w:right w:val="single" w:sz="4" w:space="0" w:color="000000"/>
                  </w:tcBorders>
                  <w:shd w:color="auto" w:fill="BDD6EE" w:val="clear"/>
                  <w:vAlign w:val="bottom"/>
                </w:tcPr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cs="Calibri"/>
                      <w:color w:val="000000"/>
                    </w:rPr>
                    <w:t>7 925,28 zł</w:t>
                  </w:r>
                </w:p>
              </w:tc>
            </w:tr>
          </w:tbl>
          <w:p>
            <w:pPr>
              <w:pStyle w:val="Standard"/>
              <w:jc w:val="center"/>
              <w:rPr/>
            </w:pPr>
            <w:r>
              <w:rPr/>
            </w:r>
          </w:p>
          <w:p>
            <w:pPr>
              <w:pStyle w:val="Normal"/>
              <w:spacing w:before="0" w:after="160"/>
              <w:jc w:val="center"/>
              <w:rPr>
                <w:rFonts w:ascii="Calibri" w:hAnsi="Calibri"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</w:r>
          </w:p>
        </w:tc>
      </w:tr>
    </w:tbl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>
          <w:rFonts w:eastAsia="Times New Roman" w:cs="Times New Roman"/>
        </w:rPr>
      </w:pPr>
      <w:r>
        <w:rPr/>
        <w:t xml:space="preserve">W przypadku opuszczenia lokalu kaucja podlega zwrotowi. </w:t>
      </w:r>
      <w:r>
        <w:rPr>
          <w:rFonts w:eastAsia="Times New Roman" w:cs="Times New Roman"/>
        </w:rPr>
        <w:t>Zwaloryzowana kaucja mieszkaniowa podlega zwrotowi w ciągu miesiąca od dnia opróżnienia i zdania lokalu.</w:t>
      </w:r>
    </w:p>
    <w:p>
      <w:pPr>
        <w:pStyle w:val="Standard"/>
        <w:jc w:val="both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</w:r>
      <w:r>
        <w:br w:type="page"/>
      </w:r>
    </w:p>
    <w:p>
      <w:pPr>
        <w:pStyle w:val="Normal"/>
        <w:spacing w:lineRule="auto" w:line="240" w:before="0" w:after="0"/>
        <w:ind w:left="360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5.Wykaz mieszkań </w:t>
      </w:r>
    </w:p>
    <w:p>
      <w:pPr>
        <w:pStyle w:val="Normal"/>
        <w:widowControl/>
        <w:suppressAutoHyphens w:val="true"/>
        <w:bidi w:val="0"/>
        <w:spacing w:lineRule="auto" w:line="240" w:before="120" w:after="0"/>
        <w:ind w:hanging="0" w:left="283" w:right="0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lang w:eastAsia="pl-PL"/>
        </w:rPr>
      </w:pPr>
      <w:r>
        <w:rPr/>
        <w:t xml:space="preserve">        </w:t>
      </w:r>
      <w:r>
        <w:rPr/>
        <mc:AlternateContent>
          <mc:Choice Requires="wps">
            <w:drawing>
              <wp:inline distT="0" distB="0" distL="0" distR="0" wp14:anchorId="60888796">
                <wp:extent cx="7865745" cy="3838575"/>
                <wp:effectExtent l="0" t="2013585" r="0" b="2013585"/>
                <wp:docPr id="2" name="Obraz 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Obraz 1" descr="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 rot="5400000">
                          <a:off x="0" y="0"/>
                          <a:ext cx="7865640" cy="383868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Obraz 1" stroked="f" o:allowincell="f" style="position:absolute;margin-left:-158.5pt;margin-top:-460.85pt;width:619.3pt;height:302.2pt;mso-wrap-style:none;v-text-anchor:middle;rotation:90;mso-position-vertical:top" wp14:anchorId="60888796" type="_x0000_t75">
                <v:imagedata r:id="rId4" o:detectmouseclick="t"/>
                <v:stroke color="#3465a4" joinstyle="round" endcap="flat"/>
                <w10:wrap type="square"/>
              </v:shape>
            </w:pict>
          </mc:Fallback>
        </mc:AlternateContent>
      </w:r>
    </w:p>
    <w:p>
      <w:pPr>
        <w:pStyle w:val="Normal"/>
        <w:spacing w:lineRule="auto" w:line="240" w:before="120" w:after="0"/>
        <w:ind w:left="360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r>
    </w:p>
    <w:p>
      <w:pPr>
        <w:pStyle w:val="Normal"/>
        <w:spacing w:lineRule="auto" w:line="240" w:before="120" w:after="0"/>
        <w:ind w:left="360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r>
    </w:p>
    <w:tbl>
      <w:tblPr>
        <w:tblStyle w:val="Tabela-Siatka"/>
        <w:tblW w:w="10550" w:type="dxa"/>
        <w:jc w:val="left"/>
        <w:tblInd w:w="-5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290"/>
        <w:gridCol w:w="5259"/>
      </w:tblGrid>
      <w:tr>
        <w:trPr/>
        <w:tc>
          <w:tcPr>
            <w:tcW w:w="5290" w:type="dxa"/>
            <w:tcBorders/>
            <w:shd w:color="auto" w:fill="F4B083" w:themeFill="accent2" w:themeFillTint="9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"/>
                <w:b/>
                <w:bCs/>
                <w:kern w:val="0"/>
                <w:sz w:val="19"/>
                <w:szCs w:val="19"/>
                <w:lang w:val="pl-PL" w:eastAsia="en-US" w:bidi="ar-SA"/>
              </w:rPr>
              <w:t>Mieszkanie</w:t>
            </w:r>
          </w:p>
        </w:tc>
        <w:tc>
          <w:tcPr>
            <w:tcW w:w="5259" w:type="dxa"/>
            <w:tcBorders/>
            <w:shd w:color="auto" w:fill="F4B083" w:themeFill="accent2" w:themeFillTint="9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"/>
                <w:b/>
                <w:bCs/>
                <w:kern w:val="0"/>
                <w:sz w:val="19"/>
                <w:szCs w:val="19"/>
                <w:lang w:val="pl-PL" w:eastAsia="en-US" w:bidi="ar-SA"/>
              </w:rPr>
              <w:t>Wykaz pomiesczeń:</w:t>
            </w:r>
          </w:p>
        </w:tc>
      </w:tr>
      <w:tr>
        <w:trPr>
          <w:trHeight w:val="2248" w:hRule="atLeast"/>
        </w:trPr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Calibri"/>
                <w:b/>
                <w:bCs/>
                <w:color w:val="000000"/>
                <w:kern w:val="0"/>
                <w:sz w:val="19"/>
                <w:szCs w:val="19"/>
                <w:lang w:val="pl-PL" w:eastAsia="en-US" w:bidi="ar-SA"/>
              </w:rPr>
              <w:t>Mieszkanie nr 1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53,15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Pok. dzienny + aneks kuchenny : 27,06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6,12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11,72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8,63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205" w:hRule="atLeast"/>
        </w:trPr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Calibri"/>
                <w:b/>
                <w:bCs/>
                <w:color w:val="000000"/>
                <w:kern w:val="0"/>
                <w:sz w:val="19"/>
                <w:szCs w:val="19"/>
                <w:lang w:val="pl-PL" w:eastAsia="en-US" w:bidi="ar-SA"/>
              </w:rPr>
              <w:t>Mieszkanie nr 2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49,71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</w:t>
            </w: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4,14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12,46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2 : 13,76 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10,45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Kuchnia : 8,9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100" w:hRule="atLeast"/>
        </w:trPr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Calibri"/>
                <w:b/>
                <w:bCs/>
                <w:color w:val="000000"/>
                <w:kern w:val="0"/>
                <w:sz w:val="19"/>
                <w:szCs w:val="19"/>
                <w:lang w:val="pl-PL" w:eastAsia="en-US" w:bidi="ar-SA"/>
              </w:rPr>
              <w:t>Mieszkanie nr 3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48,23 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</w:t>
            </w: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Pok. dzienny + aneks kuchenny : 16,71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8,40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11,31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11,81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1755" w:hRule="atLeast"/>
        </w:trPr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Calibri" w:cs="Calibri"/>
                <w:b/>
                <w:bCs/>
                <w:color w:val="000000"/>
                <w:kern w:val="0"/>
                <w:sz w:val="19"/>
                <w:szCs w:val="19"/>
                <w:lang w:val="pl-PL" w:eastAsia="en-US" w:bidi="ar-SA"/>
              </w:rPr>
              <w:t>Mieszkanie nr 4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33,78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</w:t>
            </w: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Pok. dzienny + aneks kuchenny : 22,93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5,47 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5,38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1935" w:hRule="atLeast"/>
        </w:trPr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Calibri" w:cs="Calibri"/>
                <w:b/>
                <w:bCs/>
                <w:color w:val="000000"/>
                <w:kern w:val="0"/>
                <w:sz w:val="19"/>
                <w:szCs w:val="19"/>
                <w:lang w:val="pl-PL" w:eastAsia="en-US" w:bidi="ar-SA"/>
              </w:rPr>
              <w:t>Mieszkanie nr 5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48,33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Pok. dzienny + aneks kuchenny : 20,87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5,33 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 11,67 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10,46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208" w:hRule="atLeast"/>
        </w:trPr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Calibri" w:cs="Calibri"/>
                <w:b/>
                <w:bCs/>
                <w:color w:val="000000"/>
                <w:kern w:val="0"/>
                <w:sz w:val="19"/>
                <w:szCs w:val="19"/>
                <w:lang w:val="pl-PL" w:eastAsia="en-US" w:bidi="ar-SA"/>
              </w:rPr>
              <w:t>Mieszkanie nr 6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54,68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Kuchnia : 10,88m2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5,35 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12,10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2 : 17,83 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8,52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spacing w:lineRule="auto" w:line="360" w:before="120" w:after="0"/>
        <w:rPr>
          <w:rFonts w:ascii="Calibri" w:hAnsi="Calibri" w:eastAsia="Times New Roman" w:cs="Calibri"/>
          <w:b/>
          <w:bCs/>
          <w:color w:val="000000"/>
          <w:sz w:val="32"/>
          <w:szCs w:val="32"/>
          <w:lang w:eastAsia="pl-PL"/>
        </w:rPr>
      </w:pPr>
      <w:r>
        <w:rPr/>
        <mc:AlternateContent>
          <mc:Choice Requires="wps">
            <w:drawing>
              <wp:inline distT="0" distB="0" distL="0" distR="0" wp14:anchorId="1219BC22">
                <wp:extent cx="7624445" cy="5743575"/>
                <wp:effectExtent l="16510" t="940435" r="0" b="940435"/>
                <wp:docPr id="4" name="Obraz 2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Obraz 2" descr=""/>
                        <pic:cNvPicPr/>
                      </pic:nvPicPr>
                      <pic:blipFill>
                        <a:blip r:embed="rId5"/>
                        <a:stretch/>
                      </pic:blipFill>
                      <pic:spPr>
                        <a:xfrm rot="5400000">
                          <a:off x="0" y="0"/>
                          <a:ext cx="7624440" cy="574344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ID="Obraz 2" stroked="f" o:allowincell="f" style="position:absolute;margin-left:-74.05pt;margin-top:-526.35pt;width:600.3pt;height:452.2pt;mso-wrap-style:none;v-text-anchor:middle;rotation:90;mso-position-vertical:top" wp14:anchorId="1219BC22" type="_x0000_t75">
                <v:imagedata r:id="rId6" o:detectmouseclick="t"/>
                <v:stroke color="#3465a4" joinstyle="round" endcap="flat"/>
                <w10:wrap type="square"/>
              </v:shape>
            </w:pict>
          </mc:Fallback>
        </mc:AlternateContent>
      </w:r>
      <w:r>
        <w:br w:type="page"/>
      </w:r>
    </w:p>
    <w:p>
      <w:pPr>
        <w:pStyle w:val="Normal"/>
        <w:spacing w:lineRule="auto" w:line="360" w:before="0" w:after="0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r>
    </w:p>
    <w:p>
      <w:pPr>
        <w:pStyle w:val="Normal"/>
        <w:spacing w:lineRule="auto" w:line="360" w:before="0" w:after="0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r>
    </w:p>
    <w:tbl>
      <w:tblPr>
        <w:tblStyle w:val="Tabela-Siatka"/>
        <w:tblW w:w="10550" w:type="dxa"/>
        <w:jc w:val="left"/>
        <w:tblInd w:w="-5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290"/>
        <w:gridCol w:w="5259"/>
      </w:tblGrid>
      <w:tr>
        <w:trPr/>
        <w:tc>
          <w:tcPr>
            <w:tcW w:w="5290" w:type="dxa"/>
            <w:tcBorders/>
            <w:shd w:color="auto" w:fill="F4B083" w:themeFill="accent2" w:themeFillTint="9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"/>
                <w:b/>
                <w:bCs/>
                <w:kern w:val="0"/>
                <w:sz w:val="19"/>
                <w:szCs w:val="19"/>
                <w:lang w:val="pl-PL" w:eastAsia="en-US" w:bidi="ar-SA"/>
              </w:rPr>
              <w:t>Mieszkanie</w:t>
            </w:r>
          </w:p>
        </w:tc>
        <w:tc>
          <w:tcPr>
            <w:tcW w:w="5259" w:type="dxa"/>
            <w:tcBorders/>
            <w:shd w:color="auto" w:fill="F4B083" w:themeFill="accent2" w:themeFillTint="9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"/>
                <w:b/>
                <w:bCs/>
                <w:kern w:val="0"/>
                <w:sz w:val="19"/>
                <w:szCs w:val="19"/>
                <w:lang w:val="pl-PL" w:eastAsia="en-US" w:bidi="ar-SA"/>
              </w:rPr>
              <w:t>Wykaz pomiesczeń:</w:t>
            </w:r>
          </w:p>
        </w:tc>
      </w:tr>
      <w:tr>
        <w:trPr/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l-PL" w:eastAsia="en-US" w:bidi="ar-SA"/>
              </w:rPr>
              <w:t>Mieszkanie nr 7, 14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67,24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Kuchnia : 13,92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6,02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24,05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2 : 13,87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9,38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l-PL" w:eastAsia="en-US" w:bidi="ar-SA"/>
              </w:rPr>
              <w:t>Mieszkanie nr 8, 15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61,38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</w:t>
            </w: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Kuchnia : 8,90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4,14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12,46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2 : 13,76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2 : 11,67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10,45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l-PL" w:eastAsia="en-US" w:bidi="ar-SA"/>
              </w:rPr>
              <w:t>Mieszkanie nr 9, 16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47,75m2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</w:t>
            </w: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Pok. dzienny + aneks kuchenny : 16,72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7,10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 11,31 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Garderoba : 4,06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8,56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l-PL" w:eastAsia="en-US" w:bidi="ar-SA"/>
              </w:rPr>
              <w:t>Mieszkanie nr 10, 17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33,74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</w:t>
            </w: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Pok. dzienny + aneks kuchenny : 22,93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5,43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5,38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l-PL" w:eastAsia="en-US" w:bidi="ar-SA"/>
              </w:rPr>
              <w:t>Mieszkanie nr 11, 18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48,33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Pok. dzienny + aneks kuchenny : 20,87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5,33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11,67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 : 10,46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l-PL" w:eastAsia="en-US" w:bidi="ar-SA"/>
              </w:rPr>
              <w:t>Mieszkanie nr 12, 19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54,68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Kuchnia : 10,88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5,35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12,10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2 : 17,83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8,52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29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  <w:lang w:val="pl-PL" w:eastAsia="en-US" w:bidi="ar-SA"/>
              </w:rPr>
              <w:t>Mieszkanie nr 13, 20</w:t>
            </w:r>
          </w:p>
        </w:tc>
        <w:tc>
          <w:tcPr>
            <w:tcW w:w="5259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PUM: 34,76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b/>
                <w:bCs/>
                <w:kern w:val="0"/>
                <w:sz w:val="18"/>
                <w:szCs w:val="18"/>
                <w:lang w:val="pl-PL" w:eastAsia="en-US" w:bidi="ar-SA"/>
              </w:rPr>
              <w:t>Pomieszczenia: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Pok. dzienny + aneks kuchenny : 16,32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Łazienka:  3,70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Pokój 1 :  11,66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Korytarz: 3,08 m2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spacing w:lineRule="auto" w:line="360" w:before="120" w:after="0"/>
        <w:jc w:val="center"/>
        <w:rPr>
          <w:rFonts w:ascii="Calibri" w:hAnsi="Calibri"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417" w:right="1417" w:gutter="0" w:header="142" w:top="709" w:footer="708" w:bottom="765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Source Sans Pro"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tbl>
    <w:tblPr>
      <w:tblStyle w:val="Tabela-Siatka"/>
      <w:tblW w:w="10632" w:type="dxa"/>
      <w:jc w:val="left"/>
      <w:tblInd w:w="-856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1979"/>
      <w:gridCol w:w="3439"/>
      <w:gridCol w:w="3234"/>
      <w:gridCol w:w="1979"/>
    </w:tblGrid>
    <w:tr>
      <w:trPr/>
      <w:tc>
        <w:tcPr>
          <w:tcW w:w="1979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925195" cy="751840"/>
                <wp:effectExtent l="0" t="0" r="0" b="0"/>
                <wp:docPr id="6" name="Obraz 1816113083" descr="SIM Łódzk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Obraz 1816113083" descr="SIM Łódzk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195" cy="7518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9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>
              <w:rFonts w:eastAsia="Calibri" w:cs=""/>
              <w:color w:themeColor="accent6" w:themeShade="bf" w:val="538135"/>
              <w:kern w:val="0"/>
              <w:sz w:val="28"/>
              <w:szCs w:val="28"/>
              <w:lang w:val="pl-PL" w:eastAsia="en-US" w:bidi="ar-SA"/>
            </w:rPr>
            <w:t>Sim Łódzkie sp. z o.o.</w:t>
          </w:r>
        </w:p>
      </w:tc>
      <w:tc>
        <w:tcPr>
          <w:tcW w:w="3234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color w:themeColor="accent6" w:themeShade="bf" w:val="538135"/>
              <w:sz w:val="28"/>
              <w:szCs w:val="28"/>
            </w:rPr>
          </w:pPr>
          <w:r>
            <w:rPr>
              <w:rFonts w:eastAsia="Calibri" w:cs=""/>
              <w:color w:themeColor="accent6" w:themeShade="bf" w:val="538135"/>
              <w:kern w:val="0"/>
              <w:sz w:val="28"/>
              <w:szCs w:val="28"/>
              <w:lang w:val="pl-PL" w:eastAsia="en-US" w:bidi="ar-SA"/>
            </w:rPr>
            <w:t>Gmina Bełchatów</w:t>
          </w:r>
        </w:p>
      </w:tc>
      <w:tc>
        <w:tcPr>
          <w:tcW w:w="1979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794385" cy="886460"/>
                <wp:effectExtent l="0" t="0" r="0" b="0"/>
                <wp:docPr id="7" name="Obraz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Obraz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4385" cy="8864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Header"/>
      <w:ind w:hanging="1" w:left="-566"/>
      <w:jc w:val="center"/>
      <w:rPr/>
    </w:pPr>
    <w:r>
      <mc:AlternateContent>
        <mc:Choice Requires="wps">
          <w:drawing>
            <wp:anchor behindDoc="1" distT="19685" distB="19685" distL="635" distR="0" simplePos="0" locked="0" layoutInCell="0" allowOverlap="1" relativeHeight="36" wp14:anchorId="4DB51199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7191375" cy="0"/>
              <wp:effectExtent l="635" t="19685" r="0" b="19685"/>
              <wp:wrapNone/>
              <wp:docPr id="8" name="Łącznik prosty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9136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70ad4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56.35pt,-0.05pt" to="509.85pt,-0.05pt" ID="Łącznik prosty 6" stroked="t" o:allowincell="f" style="position:absolute;mso-position-horizontal:center;mso-position-horizontal-relative:margin" wp14:anchorId="4DB51199">
              <v:stroke color="#70ad47" weight="38160" joinstyle="miter" endcap="flat"/>
              <v:fill o:detectmouseclick="t" on="false"/>
              <w10:wrap type="none"/>
            </v:line>
          </w:pict>
        </mc:Fallback>
      </mc:AlternateContent>
    </w:r>
    <w:r>
      <w:rPr/>
      <w:tab/>
      <w:tab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tbl>
    <w:tblPr>
      <w:tblStyle w:val="Tabela-Siatka"/>
      <w:tblW w:w="10632" w:type="dxa"/>
      <w:jc w:val="left"/>
      <w:tblInd w:w="-856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1979"/>
      <w:gridCol w:w="3439"/>
      <w:gridCol w:w="3234"/>
      <w:gridCol w:w="1979"/>
    </w:tblGrid>
    <w:tr>
      <w:trPr/>
      <w:tc>
        <w:tcPr>
          <w:tcW w:w="1979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925195" cy="751840"/>
                <wp:effectExtent l="0" t="0" r="0" b="0"/>
                <wp:docPr id="9" name="Obraz 1816113083" descr="SIM Łódzk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Obraz 1816113083" descr="SIM Łódzk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195" cy="7518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9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>
              <w:rFonts w:eastAsia="Calibri" w:cs=""/>
              <w:color w:themeColor="accent6" w:themeShade="bf" w:val="538135"/>
              <w:kern w:val="0"/>
              <w:sz w:val="28"/>
              <w:szCs w:val="28"/>
              <w:lang w:val="pl-PL" w:eastAsia="en-US" w:bidi="ar-SA"/>
            </w:rPr>
            <w:t>Sim Łódzkie sp. z o.o.</w:t>
          </w:r>
        </w:p>
      </w:tc>
      <w:tc>
        <w:tcPr>
          <w:tcW w:w="3234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color w:themeColor="accent6" w:themeShade="bf" w:val="538135"/>
              <w:sz w:val="28"/>
              <w:szCs w:val="28"/>
            </w:rPr>
          </w:pPr>
          <w:r>
            <w:rPr>
              <w:rFonts w:eastAsia="Calibri" w:cs=""/>
              <w:color w:themeColor="accent6" w:themeShade="bf" w:val="538135"/>
              <w:kern w:val="0"/>
              <w:sz w:val="28"/>
              <w:szCs w:val="28"/>
              <w:lang w:val="pl-PL" w:eastAsia="en-US" w:bidi="ar-SA"/>
            </w:rPr>
            <w:t>Gmina Bełchatów</w:t>
          </w:r>
        </w:p>
      </w:tc>
      <w:tc>
        <w:tcPr>
          <w:tcW w:w="1979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794385" cy="886460"/>
                <wp:effectExtent l="0" t="0" r="0" b="0"/>
                <wp:docPr id="10" name="Obraz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Obraz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4385" cy="8864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Header"/>
      <w:ind w:hanging="1" w:left="-566"/>
      <w:jc w:val="center"/>
      <w:rPr/>
    </w:pPr>
    <w:r>
      <mc:AlternateContent>
        <mc:Choice Requires="wps">
          <w:drawing>
            <wp:anchor behindDoc="1" distT="19685" distB="19685" distL="635" distR="0" simplePos="0" locked="0" layoutInCell="0" allowOverlap="1" relativeHeight="36" wp14:anchorId="4DB51199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7191375" cy="0"/>
              <wp:effectExtent l="635" t="19685" r="0" b="19685"/>
              <wp:wrapNone/>
              <wp:docPr id="11" name="Łącznik prosty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9136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70ad4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56.35pt,-0.05pt" to="509.85pt,-0.05pt" ID="Łącznik prosty 6" stroked="t" o:allowincell="f" style="position:absolute;mso-position-horizontal:center;mso-position-horizontal-relative:margin" wp14:anchorId="4DB51199">
              <v:stroke color="#70ad47" weight="38160" joinstyle="miter" endcap="flat"/>
              <v:fill o:detectmouseclick="t" on="false"/>
              <w10:wrap type="none"/>
            </v:line>
          </w:pict>
        </mc:Fallback>
      </mc:AlternateContent>
    </w:r>
    <w:r>
      <w:rPr/>
      <w:tab/>
      <w:tab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2">
      <w:start w:val="0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4">
      <w:start w:val="0"/>
      <w:numFmt w:val="bullet"/>
      <w:lvlText w:val="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6">
      <w:start w:val="0"/>
      <w:numFmt w:val="bullet"/>
      <w:lvlText w:val="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8">
      <w:start w:val="0"/>
      <w:numFmt w:val="bullet"/>
      <w:lvlText w:val="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06f89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Heading3">
    <w:name w:val="heading 3"/>
    <w:basedOn w:val="Normal"/>
    <w:link w:val="Nagwek3Znak"/>
    <w:uiPriority w:val="9"/>
    <w:qFormat/>
    <w:rsid w:val="008c053d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0c1644"/>
    <w:rPr/>
  </w:style>
  <w:style w:type="character" w:styleId="StopkaZnak" w:customStyle="1">
    <w:name w:val="Stopka Znak"/>
    <w:basedOn w:val="DefaultParagraphFont"/>
    <w:uiPriority w:val="99"/>
    <w:qFormat/>
    <w:rsid w:val="000c1644"/>
    <w:rPr/>
  </w:style>
  <w:style w:type="character" w:styleId="hiddengrammarerror" w:customStyle="1">
    <w:name w:val="hiddengrammarerror"/>
    <w:basedOn w:val="DefaultParagraphFont"/>
    <w:qFormat/>
    <w:rsid w:val="00bc06e1"/>
    <w:rPr/>
  </w:style>
  <w:style w:type="character" w:styleId="hiddenspellerror" w:customStyle="1">
    <w:name w:val="hiddenspellerror"/>
    <w:basedOn w:val="DefaultParagraphFont"/>
    <w:qFormat/>
    <w:rsid w:val="00bc06e1"/>
    <w:rPr/>
  </w:style>
  <w:style w:type="character" w:styleId="Nagwek3Znak" w:customStyle="1">
    <w:name w:val="Nagłówek 3 Znak"/>
    <w:basedOn w:val="DefaultParagraphFont"/>
    <w:uiPriority w:val="9"/>
    <w:qFormat/>
    <w:rsid w:val="008c053d"/>
    <w:rPr>
      <w:rFonts w:ascii="Times New Roman" w:hAnsi="Times New Roman" w:eastAsia="Times New Roman" w:cs="Times New Roman"/>
      <w:b/>
      <w:bCs/>
      <w:sz w:val="27"/>
      <w:szCs w:val="27"/>
      <w:lang w:eastAsia="pl-PL"/>
    </w:rPr>
  </w:style>
  <w:style w:type="character" w:styleId="InternetLink">
    <w:name w:val="Internet Link"/>
    <w:basedOn w:val="DefaultParagraphFont"/>
    <w:uiPriority w:val="99"/>
    <w:unhideWhenUsed/>
    <w:qFormat/>
    <w:rsid w:val="008c053d"/>
    <w:rPr>
      <w:color w:val="0000FF"/>
      <w:u w:val="single"/>
    </w:rPr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714234"/>
    <w:rPr>
      <w:sz w:val="20"/>
      <w:szCs w:val="20"/>
    </w:rPr>
  </w:style>
  <w:style w:type="character" w:styleId="Znakiprzypiswkocowych">
    <w:name w:val="Znaki przypisów końcowych"/>
    <w:uiPriority w:val="99"/>
    <w:semiHidden/>
    <w:unhideWhenUsed/>
    <w:qFormat/>
    <w:rsid w:val="00714234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c369d"/>
    <w:rPr>
      <w:color w:val="605E5C"/>
      <w:shd w:fill="E1DFDD" w:val="clear"/>
    </w:rPr>
  </w:style>
  <w:style w:type="character" w:styleId="FollowedHyperlink">
    <w:name w:val="FollowedHyperlink"/>
    <w:basedOn w:val="DefaultParagraphFont"/>
    <w:uiPriority w:val="99"/>
    <w:semiHidden/>
    <w:unhideWhenUsed/>
    <w:rsid w:val="002b7f46"/>
    <w:rPr>
      <w:color w:themeColor="followedHyperlink" w:val="954F72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Standard" w:customStyle="1">
    <w:name w:val="Standard"/>
    <w:qFormat/>
    <w:rsid w:val="000c4858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Andale Sans UI" w:cs="Tahoma"/>
      <w:color w:val="auto"/>
      <w:kern w:val="2"/>
      <w:sz w:val="24"/>
      <w:szCs w:val="24"/>
      <w:lang w:val="pl-PL" w:eastAsia="en-US" w:bidi="ar-SA"/>
    </w:rPr>
  </w:style>
  <w:style w:type="paragraph" w:styleId="Zawartotabeli" w:customStyle="1">
    <w:name w:val="Zawartość tabeli"/>
    <w:basedOn w:val="Normal"/>
    <w:qFormat/>
    <w:rsid w:val="001f2508"/>
    <w:pPr>
      <w:widowControl w:val="false"/>
      <w:suppressLineNumbers/>
      <w:suppressAutoHyphens w:val="true"/>
      <w:spacing w:lineRule="auto" w:line="240" w:before="0" w:after="0"/>
    </w:pPr>
    <w:rPr>
      <w:rFonts w:ascii="Times New Roman" w:hAnsi="Times New Roman" w:eastAsia="Andale Sans UI" w:cs="Tahoma"/>
      <w:kern w:val="2"/>
      <w:sz w:val="24"/>
      <w:szCs w:val="24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0c1644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nhideWhenUsed/>
    <w:rsid w:val="000c1644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d17a8b"/>
    <w:pPr>
      <w:spacing w:before="0" w:after="160"/>
      <w:ind w:left="720"/>
      <w:contextualSpacing/>
    </w:pPr>
    <w:rPr/>
  </w:style>
  <w:style w:type="paragraph" w:styleId="EndnoteText">
    <w:name w:val="endnote text"/>
    <w:basedOn w:val="Normal"/>
    <w:link w:val="TekstprzypisukocowegoZnak"/>
    <w:uiPriority w:val="99"/>
    <w:semiHidden/>
    <w:unhideWhenUsed/>
    <w:rsid w:val="00714234"/>
    <w:pPr>
      <w:spacing w:lineRule="auto" w:line="240" w:before="0" w:after="0"/>
    </w:pPr>
    <w:rPr>
      <w:sz w:val="20"/>
      <w:szCs w:val="20"/>
    </w:rPr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59272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3.png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wmf"/><Relationship Id="rId2" Type="http://schemas.openxmlformats.org/officeDocument/2006/relationships/image" Target="media/image5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wmf"/><Relationship Id="rId2" Type="http://schemas.openxmlformats.org/officeDocument/2006/relationships/image" Target="media/image5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Application>LibreOffice/24.8.2.1$Windows_X86_64 LibreOffice_project/0f794b6e29741098670a3b95d60478a65d05ef13</Application>
  <AppVersion>15.0000</AppVersion>
  <Pages>11</Pages>
  <Words>1742</Words>
  <Characters>9627</Characters>
  <CharactersWithSpaces>11098</CharactersWithSpaces>
  <Paragraphs>318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2024-05-13T12:27:00Z</dcterms:created>
  <dc:creator>SIM Łódzkie</dc:creator>
  <dc:description/>
  <dc:language>pl-PL</dc:language>
  <cp:lastModifiedBy/>
  <cp:lastPrinted>2024-09-06T07:36:00Z</cp:lastPrinted>
  <dcterms:modified xsi:type="dcterms:W3CDTF">2025-05-20T12:01:39Z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